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50" w:rsidRDefault="00130050" w:rsidP="00BF02E2">
      <w:pPr>
        <w:pStyle w:val="Heading1"/>
        <w:spacing w:before="0" w:after="0" w:line="276" w:lineRule="auto"/>
        <w:rPr>
          <w:rStyle w:val="Emphasis"/>
          <w:i w:val="0"/>
          <w:smallCaps/>
          <w:color w:val="548DD4"/>
        </w:rPr>
      </w:pPr>
    </w:p>
    <w:p w:rsidR="003C49DF" w:rsidRPr="003C49DF" w:rsidRDefault="003C49DF" w:rsidP="00BF02E2">
      <w:pPr>
        <w:spacing w:line="276" w:lineRule="auto"/>
      </w:pPr>
    </w:p>
    <w:p w:rsidR="00C373D8" w:rsidRPr="00C373D8" w:rsidRDefault="00C373D8" w:rsidP="00BF02E2">
      <w:pPr>
        <w:spacing w:line="276" w:lineRule="auto"/>
      </w:pPr>
    </w:p>
    <w:p w:rsidR="00444020" w:rsidRDefault="00444020" w:rsidP="00BF02E2">
      <w:pPr>
        <w:spacing w:line="276" w:lineRule="auto"/>
      </w:pPr>
    </w:p>
    <w:p w:rsidR="00A1526D" w:rsidRPr="00444020" w:rsidRDefault="00A1526D" w:rsidP="00BF02E2">
      <w:pPr>
        <w:spacing w:line="276" w:lineRule="auto"/>
      </w:pPr>
    </w:p>
    <w:p w:rsidR="00F45DF6" w:rsidRPr="00F45DF6" w:rsidRDefault="00F45DF6" w:rsidP="00BF02E2">
      <w:pPr>
        <w:spacing w:line="276" w:lineRule="auto"/>
      </w:pPr>
    </w:p>
    <w:p w:rsidR="00130050" w:rsidRDefault="00130050" w:rsidP="00BF02E2">
      <w:pPr>
        <w:spacing w:line="276" w:lineRule="auto"/>
      </w:pPr>
    </w:p>
    <w:p w:rsidR="00130050" w:rsidRPr="00213389" w:rsidRDefault="00130050" w:rsidP="00BF02E2">
      <w:pPr>
        <w:spacing w:line="276" w:lineRule="auto"/>
      </w:pPr>
      <w:bookmarkStart w:id="0" w:name="_GoBack"/>
      <w:bookmarkEnd w:id="0"/>
    </w:p>
    <w:p w:rsidR="00130050" w:rsidRPr="00EA4C89" w:rsidRDefault="00130050" w:rsidP="00BF02E2">
      <w:pPr>
        <w:spacing w:line="276" w:lineRule="auto"/>
      </w:pPr>
    </w:p>
    <w:p w:rsidR="00130050" w:rsidRDefault="00130050" w:rsidP="00BF02E2">
      <w:pPr>
        <w:pStyle w:val="Heading1"/>
        <w:spacing w:before="0" w:after="0" w:line="276" w:lineRule="auto"/>
        <w:rPr>
          <w:rStyle w:val="Emphasis"/>
          <w:i w:val="0"/>
          <w:smallCaps/>
          <w:color w:val="548DD4"/>
        </w:rPr>
      </w:pPr>
    </w:p>
    <w:p w:rsidR="00130050" w:rsidRDefault="00130050" w:rsidP="00BF02E2">
      <w:pPr>
        <w:spacing w:line="276" w:lineRule="auto"/>
      </w:pPr>
    </w:p>
    <w:p w:rsidR="00130050" w:rsidRDefault="00130050" w:rsidP="00BF02E2">
      <w:pPr>
        <w:spacing w:line="276" w:lineRule="auto"/>
      </w:pPr>
    </w:p>
    <w:p w:rsidR="00130050" w:rsidRDefault="00130050" w:rsidP="00BF02E2">
      <w:pPr>
        <w:spacing w:line="276" w:lineRule="auto"/>
      </w:pPr>
    </w:p>
    <w:p w:rsidR="00130050" w:rsidRPr="00D47D99" w:rsidRDefault="00130050" w:rsidP="00BF02E2">
      <w:pPr>
        <w:spacing w:line="276" w:lineRule="auto"/>
      </w:pPr>
    </w:p>
    <w:p w:rsidR="00130050" w:rsidRDefault="00130050" w:rsidP="00BF02E2">
      <w:pPr>
        <w:pStyle w:val="Title"/>
        <w:spacing w:after="0" w:line="276" w:lineRule="auto"/>
        <w:contextualSpacing w:val="0"/>
      </w:pPr>
    </w:p>
    <w:p w:rsidR="00457467" w:rsidRPr="00706041" w:rsidRDefault="00FB0ACA" w:rsidP="00BF02E2">
      <w:pPr>
        <w:pStyle w:val="Title"/>
        <w:spacing w:after="0" w:line="276" w:lineRule="auto"/>
        <w:contextualSpacing w:val="0"/>
        <w:jc w:val="center"/>
        <w:rPr>
          <w:rFonts w:ascii="Times New Roman" w:hAnsi="Times New Roman"/>
          <w:b/>
          <w:color w:val="9933FF"/>
        </w:rPr>
      </w:pPr>
      <w:r w:rsidRPr="00706041">
        <w:rPr>
          <w:rFonts w:ascii="Times New Roman" w:hAnsi="Times New Roman"/>
          <w:b/>
          <w:color w:val="9933FF"/>
        </w:rPr>
        <w:t>PLANI KOMB</w:t>
      </w:r>
      <w:r w:rsidR="00457467" w:rsidRPr="00706041">
        <w:rPr>
          <w:rFonts w:ascii="Times New Roman" w:hAnsi="Times New Roman"/>
          <w:b/>
          <w:color w:val="9933FF"/>
        </w:rPr>
        <w:t>ËTAR I VEPRIMIT</w:t>
      </w:r>
    </w:p>
    <w:p w:rsidR="00706041" w:rsidRDefault="00706041" w:rsidP="00BE000A">
      <w:pPr>
        <w:jc w:val="center"/>
        <w:rPr>
          <w:b/>
          <w:color w:val="FF00FF"/>
          <w:sz w:val="52"/>
          <w:szCs w:val="52"/>
        </w:rPr>
      </w:pPr>
    </w:p>
    <w:p w:rsidR="00183731" w:rsidRPr="00706041" w:rsidRDefault="00BB57FF" w:rsidP="00BE000A">
      <w:pPr>
        <w:jc w:val="center"/>
        <w:rPr>
          <w:b/>
          <w:color w:val="00FF00"/>
          <w:sz w:val="52"/>
          <w:szCs w:val="52"/>
        </w:rPr>
      </w:pPr>
      <w:r w:rsidRPr="00706041">
        <w:rPr>
          <w:b/>
          <w:color w:val="00FF00"/>
          <w:sz w:val="52"/>
          <w:szCs w:val="52"/>
        </w:rPr>
        <w:t xml:space="preserve">PËR PERSONAT </w:t>
      </w:r>
      <w:r w:rsidR="0029487E" w:rsidRPr="00706041">
        <w:rPr>
          <w:b/>
          <w:color w:val="00FF00"/>
          <w:sz w:val="52"/>
          <w:szCs w:val="52"/>
        </w:rPr>
        <w:t>LGBTI</w:t>
      </w:r>
      <w:r w:rsidRPr="00706041">
        <w:rPr>
          <w:b/>
          <w:color w:val="00FF00"/>
          <w:sz w:val="52"/>
          <w:szCs w:val="52"/>
        </w:rPr>
        <w:t>+</w:t>
      </w:r>
    </w:p>
    <w:p w:rsidR="00183731" w:rsidRPr="00706041" w:rsidRDefault="00183731" w:rsidP="001B1D14">
      <w:pPr>
        <w:ind w:left="3600" w:firstLine="720"/>
        <w:rPr>
          <w:b/>
          <w:color w:val="FF00FF"/>
          <w:sz w:val="52"/>
          <w:szCs w:val="52"/>
        </w:rPr>
      </w:pPr>
    </w:p>
    <w:p w:rsidR="00130050" w:rsidRPr="00706041" w:rsidRDefault="00EC3FA2" w:rsidP="00BF02E2">
      <w:pPr>
        <w:pStyle w:val="Title"/>
        <w:spacing w:after="0" w:line="276" w:lineRule="auto"/>
        <w:contextualSpacing w:val="0"/>
        <w:jc w:val="center"/>
        <w:rPr>
          <w:rFonts w:ascii="Times New Roman" w:hAnsi="Times New Roman"/>
          <w:b/>
          <w:color w:val="E026D7"/>
        </w:rPr>
      </w:pPr>
      <w:r w:rsidRPr="00706041">
        <w:rPr>
          <w:rFonts w:ascii="Times New Roman" w:hAnsi="Times New Roman"/>
          <w:b/>
          <w:color w:val="E026D7"/>
        </w:rPr>
        <w:t>2021-</w:t>
      </w:r>
      <w:r w:rsidR="000E140D" w:rsidRPr="00706041">
        <w:rPr>
          <w:rFonts w:ascii="Times New Roman" w:hAnsi="Times New Roman"/>
          <w:b/>
          <w:color w:val="E026D7"/>
        </w:rPr>
        <w:t>20</w:t>
      </w:r>
      <w:r w:rsidR="00457467" w:rsidRPr="00706041">
        <w:rPr>
          <w:rFonts w:ascii="Times New Roman" w:hAnsi="Times New Roman"/>
          <w:b/>
          <w:color w:val="E026D7"/>
        </w:rPr>
        <w:t>27</w:t>
      </w:r>
    </w:p>
    <w:p w:rsidR="00130050" w:rsidRPr="001B1D14" w:rsidRDefault="00130050" w:rsidP="00BF02E2">
      <w:pPr>
        <w:pStyle w:val="Heading1"/>
        <w:spacing w:before="0" w:after="0" w:line="276" w:lineRule="auto"/>
        <w:rPr>
          <w:rStyle w:val="Emphasis"/>
          <w:i w:val="0"/>
          <w:smallCaps/>
          <w:color w:val="548DD4"/>
        </w:rPr>
      </w:pPr>
    </w:p>
    <w:p w:rsidR="00130050" w:rsidRPr="001B1D14" w:rsidRDefault="00952F85" w:rsidP="00BF02E2">
      <w:pPr>
        <w:spacing w:line="276" w:lineRule="auto"/>
        <w:rPr>
          <w:i/>
          <w:color w:val="E36C0A" w:themeColor="accent6" w:themeShade="BF"/>
        </w:rPr>
      </w:pPr>
      <w:r w:rsidRPr="001B1D14">
        <w:tab/>
      </w:r>
      <w:r w:rsidRPr="001B1D14">
        <w:tab/>
      </w:r>
      <w:r w:rsidRPr="001B1D14">
        <w:tab/>
      </w:r>
      <w:r w:rsidRPr="001B1D14">
        <w:tab/>
      </w:r>
      <w:r w:rsidRPr="001B1D14">
        <w:tab/>
      </w: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457467" w:rsidRPr="001B1D14" w:rsidRDefault="00457467" w:rsidP="00BF02E2">
      <w:pPr>
        <w:spacing w:line="276" w:lineRule="auto"/>
        <w:rPr>
          <w:color w:val="E36C0A" w:themeColor="accent6" w:themeShade="BF"/>
        </w:rPr>
      </w:pPr>
    </w:p>
    <w:p w:rsidR="00457467" w:rsidRPr="001B1D14" w:rsidRDefault="00457467" w:rsidP="00BF02E2">
      <w:pPr>
        <w:spacing w:line="276" w:lineRule="auto"/>
        <w:rPr>
          <w:color w:val="E36C0A" w:themeColor="accent6" w:themeShade="BF"/>
        </w:rPr>
      </w:pPr>
    </w:p>
    <w:p w:rsidR="00130050" w:rsidRPr="001B1D14" w:rsidRDefault="00130050" w:rsidP="00BF02E2">
      <w:pPr>
        <w:spacing w:line="276" w:lineRule="auto"/>
        <w:rPr>
          <w:color w:val="E36C0A" w:themeColor="accent6" w:themeShade="BF"/>
        </w:rPr>
      </w:pPr>
    </w:p>
    <w:p w:rsidR="00130050" w:rsidRPr="00706041" w:rsidRDefault="00BB57FF" w:rsidP="00BF02E2">
      <w:pPr>
        <w:spacing w:line="276" w:lineRule="auto"/>
        <w:jc w:val="center"/>
        <w:rPr>
          <w:b/>
        </w:rPr>
      </w:pPr>
      <w:r w:rsidRPr="00706041">
        <w:rPr>
          <w:b/>
        </w:rPr>
        <w:t>Gusht</w:t>
      </w:r>
      <w:r w:rsidR="000C3054" w:rsidRPr="00706041">
        <w:rPr>
          <w:b/>
        </w:rPr>
        <w:t xml:space="preserve"> </w:t>
      </w:r>
      <w:r w:rsidR="00EC3FA2" w:rsidRPr="00706041">
        <w:rPr>
          <w:b/>
        </w:rPr>
        <w:t>202</w:t>
      </w:r>
      <w:r w:rsidR="006C5340" w:rsidRPr="00706041">
        <w:rPr>
          <w:b/>
        </w:rPr>
        <w:t>1</w:t>
      </w:r>
    </w:p>
    <w:p w:rsidR="00130050" w:rsidRPr="001B1D14" w:rsidRDefault="00130050" w:rsidP="00BF02E2">
      <w:pPr>
        <w:spacing w:line="276" w:lineRule="auto"/>
      </w:pPr>
    </w:p>
    <w:p w:rsidR="005E4F47" w:rsidRPr="00706041" w:rsidRDefault="005E4F47" w:rsidP="00BF02E2">
      <w:pPr>
        <w:pStyle w:val="TOCHeading"/>
        <w:spacing w:before="0"/>
        <w:rPr>
          <w:rFonts w:ascii="Times New Roman" w:hAnsi="Times New Roman"/>
          <w:color w:val="E026D7"/>
          <w:sz w:val="24"/>
          <w:szCs w:val="24"/>
          <w:lang w:val="sq-AL"/>
        </w:rPr>
      </w:pPr>
      <w:r w:rsidRPr="00706041">
        <w:rPr>
          <w:rFonts w:ascii="Times New Roman" w:hAnsi="Times New Roman"/>
          <w:color w:val="E026D7"/>
          <w:sz w:val="24"/>
          <w:szCs w:val="24"/>
          <w:lang w:val="sq-AL"/>
        </w:rPr>
        <w:t>PËRMBAJTJA</w:t>
      </w:r>
    </w:p>
    <w:p w:rsidR="005E4F47" w:rsidRPr="001B1D14" w:rsidRDefault="005E4F47" w:rsidP="00BF02E2">
      <w:pPr>
        <w:spacing w:line="276" w:lineRule="auto"/>
        <w:rPr>
          <w:sz w:val="14"/>
        </w:rPr>
      </w:pPr>
    </w:p>
    <w:p w:rsidR="00A002A7" w:rsidRDefault="00F86122">
      <w:pPr>
        <w:pStyle w:val="TOC1"/>
        <w:rPr>
          <w:rFonts w:asciiTheme="minorHAnsi" w:eastAsiaTheme="minorEastAsia" w:hAnsiTheme="minorHAnsi" w:cstheme="minorBidi"/>
          <w:b w:val="0"/>
          <w:bCs w:val="0"/>
          <w:smallCaps w:val="0"/>
          <w:sz w:val="22"/>
          <w:szCs w:val="22"/>
          <w:lang w:val="en-US" w:eastAsia="en-US"/>
        </w:rPr>
      </w:pPr>
      <w:r w:rsidRPr="00F86122">
        <w:fldChar w:fldCharType="begin"/>
      </w:r>
      <w:r w:rsidR="005E4F47" w:rsidRPr="001B1D14">
        <w:instrText xml:space="preserve"> TOC \o "1-3" \h \z \u </w:instrText>
      </w:r>
      <w:r w:rsidRPr="00F86122">
        <w:fldChar w:fldCharType="separate"/>
      </w:r>
      <w:hyperlink w:anchor="_Toc79509614" w:history="1">
        <w:r w:rsidR="00A002A7" w:rsidRPr="00D51796">
          <w:rPr>
            <w:rStyle w:val="Hyperlink"/>
          </w:rPr>
          <w:t>SHKURTIMET</w:t>
        </w:r>
        <w:r w:rsidR="00A002A7">
          <w:rPr>
            <w:webHidden/>
          </w:rPr>
          <w:tab/>
        </w:r>
        <w:r>
          <w:rPr>
            <w:webHidden/>
          </w:rPr>
          <w:fldChar w:fldCharType="begin"/>
        </w:r>
        <w:r w:rsidR="00A002A7">
          <w:rPr>
            <w:webHidden/>
          </w:rPr>
          <w:instrText xml:space="preserve"> PAGEREF _Toc79509614 \h </w:instrText>
        </w:r>
        <w:r>
          <w:rPr>
            <w:webHidden/>
          </w:rPr>
        </w:r>
        <w:r>
          <w:rPr>
            <w:webHidden/>
          </w:rPr>
          <w:fldChar w:fldCharType="separate"/>
        </w:r>
        <w:r w:rsidR="00A002A7">
          <w:rPr>
            <w:webHidden/>
          </w:rPr>
          <w:t>3</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15" w:history="1">
        <w:r w:rsidR="00A002A7" w:rsidRPr="00D51796">
          <w:rPr>
            <w:rStyle w:val="Hyperlink"/>
            <w:shd w:val="clear" w:color="auto" w:fill="99FFCC"/>
          </w:rPr>
          <w:t>PJESA I - KONTEKSTI STRATEGJIK</w:t>
        </w:r>
        <w:r w:rsidR="00A002A7">
          <w:rPr>
            <w:webHidden/>
          </w:rPr>
          <w:tab/>
        </w:r>
        <w:r>
          <w:rPr>
            <w:webHidden/>
          </w:rPr>
          <w:fldChar w:fldCharType="begin"/>
        </w:r>
        <w:r w:rsidR="00A002A7">
          <w:rPr>
            <w:webHidden/>
          </w:rPr>
          <w:instrText xml:space="preserve"> PAGEREF _Toc79509615 \h </w:instrText>
        </w:r>
        <w:r>
          <w:rPr>
            <w:webHidden/>
          </w:rPr>
        </w:r>
        <w:r>
          <w:rPr>
            <w:webHidden/>
          </w:rPr>
          <w:fldChar w:fldCharType="separate"/>
        </w:r>
        <w:r w:rsidR="00A002A7">
          <w:rPr>
            <w:webHidden/>
          </w:rPr>
          <w:t>4</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16" w:history="1">
        <w:r w:rsidR="00A002A7" w:rsidRPr="00D51796">
          <w:rPr>
            <w:rStyle w:val="Hyperlink"/>
            <w:rFonts w:eastAsiaTheme="minorHAnsi"/>
            <w:lang w:eastAsia="en-US"/>
          </w:rPr>
          <w:t>1. Hyrja dhe qëllimi i dokumentit strategjik</w:t>
        </w:r>
        <w:r w:rsidR="00A002A7">
          <w:rPr>
            <w:webHidden/>
          </w:rPr>
          <w:tab/>
        </w:r>
        <w:r>
          <w:rPr>
            <w:webHidden/>
          </w:rPr>
          <w:fldChar w:fldCharType="begin"/>
        </w:r>
        <w:r w:rsidR="00A002A7">
          <w:rPr>
            <w:webHidden/>
          </w:rPr>
          <w:instrText xml:space="preserve"> PAGEREF _Toc79509616 \h </w:instrText>
        </w:r>
        <w:r>
          <w:rPr>
            <w:webHidden/>
          </w:rPr>
        </w:r>
        <w:r>
          <w:rPr>
            <w:webHidden/>
          </w:rPr>
          <w:fldChar w:fldCharType="separate"/>
        </w:r>
        <w:r w:rsidR="00A002A7">
          <w:rPr>
            <w:webHidden/>
          </w:rPr>
          <w:t>4</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17" w:history="1">
        <w:r w:rsidR="00A002A7" w:rsidRPr="00D51796">
          <w:rPr>
            <w:rStyle w:val="Hyperlink"/>
            <w:rFonts w:eastAsiaTheme="minorHAnsi"/>
            <w:lang w:eastAsia="en-US"/>
          </w:rPr>
          <w:t>2. Kuadri ligjor dhe institucional si dhe lidhja me dokumentat strategjike</w:t>
        </w:r>
        <w:r w:rsidR="00A002A7">
          <w:rPr>
            <w:webHidden/>
          </w:rPr>
          <w:tab/>
        </w:r>
        <w:r>
          <w:rPr>
            <w:webHidden/>
          </w:rPr>
          <w:fldChar w:fldCharType="begin"/>
        </w:r>
        <w:r w:rsidR="00A002A7">
          <w:rPr>
            <w:webHidden/>
          </w:rPr>
          <w:instrText xml:space="preserve"> PAGEREF _Toc79509617 \h </w:instrText>
        </w:r>
        <w:r>
          <w:rPr>
            <w:webHidden/>
          </w:rPr>
        </w:r>
        <w:r>
          <w:rPr>
            <w:webHidden/>
          </w:rPr>
          <w:fldChar w:fldCharType="separate"/>
        </w:r>
        <w:r w:rsidR="00A002A7">
          <w:rPr>
            <w:webHidden/>
          </w:rPr>
          <w:t>5</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21" w:history="1">
        <w:r w:rsidR="00A002A7" w:rsidRPr="00D51796">
          <w:rPr>
            <w:rStyle w:val="Hyperlink"/>
            <w:iCs/>
          </w:rPr>
          <w:t>3. Arritjet, Analiza dhe Sfidat.</w:t>
        </w:r>
        <w:r w:rsidR="00A002A7">
          <w:rPr>
            <w:webHidden/>
          </w:rPr>
          <w:tab/>
        </w:r>
        <w:r>
          <w:rPr>
            <w:webHidden/>
          </w:rPr>
          <w:fldChar w:fldCharType="begin"/>
        </w:r>
        <w:r w:rsidR="00A002A7">
          <w:rPr>
            <w:webHidden/>
          </w:rPr>
          <w:instrText xml:space="preserve"> PAGEREF _Toc79509621 \h </w:instrText>
        </w:r>
        <w:r>
          <w:rPr>
            <w:webHidden/>
          </w:rPr>
        </w:r>
        <w:r>
          <w:rPr>
            <w:webHidden/>
          </w:rPr>
          <w:fldChar w:fldCharType="separate"/>
        </w:r>
        <w:r w:rsidR="00A002A7">
          <w:rPr>
            <w:webHidden/>
          </w:rPr>
          <w:t>12</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22" w:history="1">
        <w:r w:rsidR="00A002A7" w:rsidRPr="00D51796">
          <w:rPr>
            <w:rStyle w:val="Hyperlink"/>
            <w:rFonts w:eastAsiaTheme="minorHAnsi"/>
            <w:lang w:eastAsia="en-US"/>
          </w:rPr>
          <w:t>4. Vizioni dhe misioni i dokumentit</w:t>
        </w:r>
        <w:r w:rsidR="00A002A7">
          <w:rPr>
            <w:webHidden/>
          </w:rPr>
          <w:tab/>
        </w:r>
        <w:r>
          <w:rPr>
            <w:webHidden/>
          </w:rPr>
          <w:fldChar w:fldCharType="begin"/>
        </w:r>
        <w:r w:rsidR="00A002A7">
          <w:rPr>
            <w:webHidden/>
          </w:rPr>
          <w:instrText xml:space="preserve"> PAGEREF _Toc79509622 \h </w:instrText>
        </w:r>
        <w:r>
          <w:rPr>
            <w:webHidden/>
          </w:rPr>
        </w:r>
        <w:r>
          <w:rPr>
            <w:webHidden/>
          </w:rPr>
          <w:fldChar w:fldCharType="separate"/>
        </w:r>
        <w:r w:rsidR="00A002A7">
          <w:rPr>
            <w:webHidden/>
          </w:rPr>
          <w:t>15</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24" w:history="1">
        <w:r w:rsidR="00A002A7" w:rsidRPr="00D51796">
          <w:rPr>
            <w:rStyle w:val="Hyperlink"/>
            <w:rFonts w:eastAsiaTheme="minorHAnsi"/>
            <w:lang w:eastAsia="en-US"/>
          </w:rPr>
          <w:t>5. Metodologjia</w:t>
        </w:r>
        <w:r w:rsidR="00A002A7">
          <w:rPr>
            <w:webHidden/>
          </w:rPr>
          <w:tab/>
        </w:r>
        <w:r>
          <w:rPr>
            <w:webHidden/>
          </w:rPr>
          <w:fldChar w:fldCharType="begin"/>
        </w:r>
        <w:r w:rsidR="00A002A7">
          <w:rPr>
            <w:webHidden/>
          </w:rPr>
          <w:instrText xml:space="preserve"> PAGEREF _Toc79509624 \h </w:instrText>
        </w:r>
        <w:r>
          <w:rPr>
            <w:webHidden/>
          </w:rPr>
        </w:r>
        <w:r>
          <w:rPr>
            <w:webHidden/>
          </w:rPr>
          <w:fldChar w:fldCharType="separate"/>
        </w:r>
        <w:r w:rsidR="00A002A7">
          <w:rPr>
            <w:webHidden/>
          </w:rPr>
          <w:t>17</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25" w:history="1">
        <w:r w:rsidR="00A002A7" w:rsidRPr="00D51796">
          <w:rPr>
            <w:rStyle w:val="Hyperlink"/>
            <w:shd w:val="clear" w:color="auto" w:fill="99FFCC"/>
          </w:rPr>
          <w:t>PJESA II – QËLLIMET STRATEGJIKE, OBJEKTIVAT SPECIFIKË</w:t>
        </w:r>
        <w:r w:rsidR="00A002A7" w:rsidRPr="00D51796">
          <w:rPr>
            <w:rStyle w:val="Hyperlink"/>
            <w:shd w:val="clear" w:color="auto" w:fill="FABF8F" w:themeFill="accent6" w:themeFillTint="99"/>
          </w:rPr>
          <w:t xml:space="preserve"> </w:t>
        </w:r>
        <w:r w:rsidR="00A002A7" w:rsidRPr="00D51796">
          <w:rPr>
            <w:rStyle w:val="Hyperlink"/>
            <w:shd w:val="clear" w:color="auto" w:fill="99FFCC"/>
          </w:rPr>
          <w:t>DHE MASAT PRIORITARE TË ZBATIMIT TË PKV</w:t>
        </w:r>
        <w:r w:rsidR="00A002A7">
          <w:rPr>
            <w:webHidden/>
          </w:rPr>
          <w:tab/>
        </w:r>
        <w:r>
          <w:rPr>
            <w:webHidden/>
          </w:rPr>
          <w:fldChar w:fldCharType="begin"/>
        </w:r>
        <w:r w:rsidR="00A002A7">
          <w:rPr>
            <w:webHidden/>
          </w:rPr>
          <w:instrText xml:space="preserve"> PAGEREF _Toc79509625 \h </w:instrText>
        </w:r>
        <w:r>
          <w:rPr>
            <w:webHidden/>
          </w:rPr>
        </w:r>
        <w:r>
          <w:rPr>
            <w:webHidden/>
          </w:rPr>
          <w:fldChar w:fldCharType="separate"/>
        </w:r>
        <w:r w:rsidR="00A002A7">
          <w:rPr>
            <w:webHidden/>
          </w:rPr>
          <w:t>18</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26" w:history="1">
        <w:r w:rsidR="00A002A7" w:rsidRPr="00D51796">
          <w:rPr>
            <w:rStyle w:val="Hyperlink"/>
            <w:b/>
          </w:rPr>
          <w:t>Politika  I</w:t>
        </w:r>
        <w:r w:rsidR="00A002A7">
          <w:rPr>
            <w:webHidden/>
          </w:rPr>
          <w:tab/>
        </w:r>
        <w:r>
          <w:rPr>
            <w:webHidden/>
          </w:rPr>
          <w:fldChar w:fldCharType="begin"/>
        </w:r>
        <w:r w:rsidR="00A002A7">
          <w:rPr>
            <w:webHidden/>
          </w:rPr>
          <w:instrText xml:space="preserve"> PAGEREF _Toc79509626 \h </w:instrText>
        </w:r>
        <w:r>
          <w:rPr>
            <w:webHidden/>
          </w:rPr>
        </w:r>
        <w:r>
          <w:rPr>
            <w:webHidden/>
          </w:rPr>
          <w:fldChar w:fldCharType="separate"/>
        </w:r>
        <w:r w:rsidR="00A002A7">
          <w:rPr>
            <w:webHidden/>
          </w:rPr>
          <w:t>19</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27" w:history="1">
        <w:r w:rsidR="00A002A7" w:rsidRPr="00D51796">
          <w:rPr>
            <w:rStyle w:val="Hyperlink"/>
            <w:b/>
          </w:rPr>
          <w:t>Politika II</w:t>
        </w:r>
        <w:r w:rsidR="00A002A7">
          <w:rPr>
            <w:webHidden/>
          </w:rPr>
          <w:tab/>
        </w:r>
        <w:r>
          <w:rPr>
            <w:webHidden/>
          </w:rPr>
          <w:fldChar w:fldCharType="begin"/>
        </w:r>
        <w:r w:rsidR="00A002A7">
          <w:rPr>
            <w:webHidden/>
          </w:rPr>
          <w:instrText xml:space="preserve"> PAGEREF _Toc79509627 \h </w:instrText>
        </w:r>
        <w:r>
          <w:rPr>
            <w:webHidden/>
          </w:rPr>
        </w:r>
        <w:r>
          <w:rPr>
            <w:webHidden/>
          </w:rPr>
          <w:fldChar w:fldCharType="separate"/>
        </w:r>
        <w:r w:rsidR="00A002A7">
          <w:rPr>
            <w:webHidden/>
          </w:rPr>
          <w:t>22</w:t>
        </w:r>
        <w:r>
          <w:rPr>
            <w:webHidden/>
          </w:rPr>
          <w:fldChar w:fldCharType="end"/>
        </w:r>
      </w:hyperlink>
    </w:p>
    <w:p w:rsidR="00A002A7" w:rsidRDefault="00F86122">
      <w:pPr>
        <w:pStyle w:val="TOC2"/>
        <w:tabs>
          <w:tab w:val="right" w:leader="dot" w:pos="9016"/>
        </w:tabs>
        <w:rPr>
          <w:rFonts w:asciiTheme="minorHAnsi" w:eastAsiaTheme="minorEastAsia" w:hAnsiTheme="minorHAnsi" w:cstheme="minorBidi"/>
          <w:sz w:val="22"/>
          <w:szCs w:val="22"/>
          <w:lang w:val="en-US" w:eastAsia="en-US"/>
        </w:rPr>
      </w:pPr>
      <w:hyperlink w:anchor="_Toc79509628" w:history="1">
        <w:r w:rsidR="00A002A7" w:rsidRPr="00D51796">
          <w:rPr>
            <w:rStyle w:val="Hyperlink"/>
            <w:b/>
          </w:rPr>
          <w:t>Politika III.</w:t>
        </w:r>
        <w:r w:rsidR="00A002A7">
          <w:rPr>
            <w:webHidden/>
          </w:rPr>
          <w:tab/>
        </w:r>
        <w:r>
          <w:rPr>
            <w:webHidden/>
          </w:rPr>
          <w:fldChar w:fldCharType="begin"/>
        </w:r>
        <w:r w:rsidR="00A002A7">
          <w:rPr>
            <w:webHidden/>
          </w:rPr>
          <w:instrText xml:space="preserve"> PAGEREF _Toc79509628 \h </w:instrText>
        </w:r>
        <w:r>
          <w:rPr>
            <w:webHidden/>
          </w:rPr>
        </w:r>
        <w:r>
          <w:rPr>
            <w:webHidden/>
          </w:rPr>
          <w:fldChar w:fldCharType="separate"/>
        </w:r>
        <w:r w:rsidR="00A002A7">
          <w:rPr>
            <w:webHidden/>
          </w:rPr>
          <w:t>24</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29" w:history="1">
        <w:r w:rsidR="00A002A7" w:rsidRPr="00D51796">
          <w:rPr>
            <w:rStyle w:val="Hyperlink"/>
            <w:shd w:val="clear" w:color="auto" w:fill="99FFCC"/>
          </w:rPr>
          <w:t>PJESA III – ZBATIMI</w:t>
        </w:r>
        <w:r w:rsidR="00A002A7" w:rsidRPr="00D51796">
          <w:rPr>
            <w:rStyle w:val="Hyperlink"/>
          </w:rPr>
          <w:t>, PËRGJEGJËSIA E INSTITUCIONEVE, LLOGARIDHËNIA,</w:t>
        </w:r>
        <w:r w:rsidR="00A002A7">
          <w:rPr>
            <w:webHidden/>
          </w:rPr>
          <w:tab/>
        </w:r>
        <w:r>
          <w:rPr>
            <w:webHidden/>
          </w:rPr>
          <w:fldChar w:fldCharType="begin"/>
        </w:r>
        <w:r w:rsidR="00A002A7">
          <w:rPr>
            <w:webHidden/>
          </w:rPr>
          <w:instrText xml:space="preserve"> PAGEREF _Toc79509629 \h </w:instrText>
        </w:r>
        <w:r>
          <w:rPr>
            <w:webHidden/>
          </w:rPr>
        </w:r>
        <w:r>
          <w:rPr>
            <w:webHidden/>
          </w:rPr>
          <w:fldChar w:fldCharType="separate"/>
        </w:r>
        <w:r w:rsidR="00A002A7">
          <w:rPr>
            <w:webHidden/>
          </w:rPr>
          <w:t>25</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30" w:history="1">
        <w:r w:rsidR="00A002A7" w:rsidRPr="00D51796">
          <w:rPr>
            <w:rStyle w:val="Hyperlink"/>
          </w:rPr>
          <w:t>RAPORTIMI DHE MONITORIMI</w:t>
        </w:r>
        <w:r w:rsidR="00A002A7">
          <w:rPr>
            <w:webHidden/>
          </w:rPr>
          <w:tab/>
        </w:r>
        <w:r>
          <w:rPr>
            <w:webHidden/>
          </w:rPr>
          <w:fldChar w:fldCharType="begin"/>
        </w:r>
        <w:r w:rsidR="00A002A7">
          <w:rPr>
            <w:webHidden/>
          </w:rPr>
          <w:instrText xml:space="preserve"> PAGEREF _Toc79509630 \h </w:instrText>
        </w:r>
        <w:r>
          <w:rPr>
            <w:webHidden/>
          </w:rPr>
        </w:r>
        <w:r>
          <w:rPr>
            <w:webHidden/>
          </w:rPr>
          <w:fldChar w:fldCharType="separate"/>
        </w:r>
        <w:r w:rsidR="00A002A7">
          <w:rPr>
            <w:webHidden/>
          </w:rPr>
          <w:t>25</w:t>
        </w:r>
        <w:r>
          <w:rPr>
            <w:webHidden/>
          </w:rPr>
          <w:fldChar w:fldCharType="end"/>
        </w:r>
      </w:hyperlink>
    </w:p>
    <w:p w:rsidR="00A002A7" w:rsidRDefault="00A002A7">
      <w:pPr>
        <w:pStyle w:val="TOC1"/>
        <w:rPr>
          <w:rStyle w:val="Hyperlink"/>
        </w:rPr>
      </w:pPr>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32" w:history="1">
        <w:r w:rsidR="00A002A7" w:rsidRPr="00D51796">
          <w:rPr>
            <w:rStyle w:val="Hyperlink"/>
            <w:shd w:val="clear" w:color="auto" w:fill="99FFCC"/>
          </w:rPr>
          <w:t>PJESA IV: ANALIZA BUXHETORE</w:t>
        </w:r>
        <w:r w:rsidR="00A002A7">
          <w:rPr>
            <w:webHidden/>
          </w:rPr>
          <w:tab/>
        </w:r>
        <w:r>
          <w:rPr>
            <w:webHidden/>
          </w:rPr>
          <w:fldChar w:fldCharType="begin"/>
        </w:r>
        <w:r w:rsidR="00A002A7">
          <w:rPr>
            <w:webHidden/>
          </w:rPr>
          <w:instrText xml:space="preserve"> PAGEREF _Toc79509632 \h </w:instrText>
        </w:r>
        <w:r>
          <w:rPr>
            <w:webHidden/>
          </w:rPr>
        </w:r>
        <w:r>
          <w:rPr>
            <w:webHidden/>
          </w:rPr>
          <w:fldChar w:fldCharType="separate"/>
        </w:r>
        <w:r w:rsidR="00A002A7">
          <w:rPr>
            <w:webHidden/>
          </w:rPr>
          <w:t>28</w:t>
        </w:r>
        <w:r>
          <w:rPr>
            <w:webHidden/>
          </w:rPr>
          <w:fldChar w:fldCharType="end"/>
        </w:r>
      </w:hyperlink>
    </w:p>
    <w:p w:rsidR="00A002A7" w:rsidRDefault="00A002A7">
      <w:pPr>
        <w:pStyle w:val="TOC1"/>
        <w:rPr>
          <w:rStyle w:val="Hyperlink"/>
        </w:rPr>
      </w:pPr>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34" w:history="1">
        <w:r w:rsidR="00A002A7" w:rsidRPr="00D51796">
          <w:rPr>
            <w:rStyle w:val="Hyperlink"/>
          </w:rPr>
          <w:t>ANEKS 1. MATRICA E QËLLIMEVE TË POLITIKËS DHE TREGUESIT</w:t>
        </w:r>
        <w:r w:rsidR="00A002A7">
          <w:rPr>
            <w:webHidden/>
          </w:rPr>
          <w:tab/>
        </w:r>
        <w:r>
          <w:rPr>
            <w:webHidden/>
          </w:rPr>
          <w:fldChar w:fldCharType="begin"/>
        </w:r>
        <w:r w:rsidR="00A002A7">
          <w:rPr>
            <w:webHidden/>
          </w:rPr>
          <w:instrText xml:space="preserve"> PAGEREF _Toc79509634 \h </w:instrText>
        </w:r>
        <w:r>
          <w:rPr>
            <w:webHidden/>
          </w:rPr>
        </w:r>
        <w:r>
          <w:rPr>
            <w:webHidden/>
          </w:rPr>
          <w:fldChar w:fldCharType="separate"/>
        </w:r>
        <w:r w:rsidR="00A002A7">
          <w:rPr>
            <w:webHidden/>
          </w:rPr>
          <w:t>30</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35" w:history="1">
        <w:r w:rsidR="00A002A7" w:rsidRPr="00D51796">
          <w:rPr>
            <w:rStyle w:val="Hyperlink"/>
          </w:rPr>
          <w:t>ANEKS 2. MATRICA E OBJEKTIVAVE SPECIFIKE DHE TREGUESIT</w:t>
        </w:r>
        <w:r w:rsidR="00A002A7">
          <w:rPr>
            <w:webHidden/>
          </w:rPr>
          <w:tab/>
        </w:r>
        <w:r>
          <w:rPr>
            <w:webHidden/>
          </w:rPr>
          <w:fldChar w:fldCharType="begin"/>
        </w:r>
        <w:r w:rsidR="00A002A7">
          <w:rPr>
            <w:webHidden/>
          </w:rPr>
          <w:instrText xml:space="preserve"> PAGEREF _Toc79509635 \h </w:instrText>
        </w:r>
        <w:r>
          <w:rPr>
            <w:webHidden/>
          </w:rPr>
        </w:r>
        <w:r>
          <w:rPr>
            <w:webHidden/>
          </w:rPr>
          <w:fldChar w:fldCharType="separate"/>
        </w:r>
        <w:r w:rsidR="00A002A7">
          <w:rPr>
            <w:webHidden/>
          </w:rPr>
          <w:t>32</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36" w:history="1">
        <w:r w:rsidR="00A002A7" w:rsidRPr="00D51796">
          <w:rPr>
            <w:rStyle w:val="Hyperlink"/>
          </w:rPr>
          <w:t>ANEKS 3. MATRICA E MASAVE DHE TREGUESIT</w:t>
        </w:r>
        <w:r w:rsidR="00A002A7">
          <w:rPr>
            <w:webHidden/>
          </w:rPr>
          <w:tab/>
        </w:r>
        <w:r>
          <w:rPr>
            <w:webHidden/>
          </w:rPr>
          <w:fldChar w:fldCharType="begin"/>
        </w:r>
        <w:r w:rsidR="00A002A7">
          <w:rPr>
            <w:webHidden/>
          </w:rPr>
          <w:instrText xml:space="preserve"> PAGEREF _Toc79509636 \h </w:instrText>
        </w:r>
        <w:r>
          <w:rPr>
            <w:webHidden/>
          </w:rPr>
        </w:r>
        <w:r>
          <w:rPr>
            <w:webHidden/>
          </w:rPr>
          <w:fldChar w:fldCharType="separate"/>
        </w:r>
        <w:r w:rsidR="00A002A7">
          <w:rPr>
            <w:webHidden/>
          </w:rPr>
          <w:t>36</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37" w:history="1">
        <w:r w:rsidR="00A002A7" w:rsidRPr="00D51796">
          <w:rPr>
            <w:rStyle w:val="Hyperlink"/>
          </w:rPr>
          <w:t>ANEKS 4. LOGJIKA E NDËRHYRJES, INSTITUCIONET PËRGJEGJËSE, AFATET KOHORE</w:t>
        </w:r>
        <w:r w:rsidR="00A002A7">
          <w:rPr>
            <w:webHidden/>
          </w:rPr>
          <w:tab/>
        </w:r>
        <w:r>
          <w:rPr>
            <w:webHidden/>
          </w:rPr>
          <w:fldChar w:fldCharType="begin"/>
        </w:r>
        <w:r w:rsidR="00A002A7">
          <w:rPr>
            <w:webHidden/>
          </w:rPr>
          <w:instrText xml:space="preserve"> PAGEREF _Toc79509637 \h </w:instrText>
        </w:r>
        <w:r>
          <w:rPr>
            <w:webHidden/>
          </w:rPr>
        </w:r>
        <w:r>
          <w:rPr>
            <w:webHidden/>
          </w:rPr>
          <w:fldChar w:fldCharType="separate"/>
        </w:r>
        <w:r w:rsidR="00A002A7">
          <w:rPr>
            <w:webHidden/>
          </w:rPr>
          <w:t>39</w:t>
        </w:r>
        <w:r>
          <w:rPr>
            <w:webHidden/>
          </w:rPr>
          <w:fldChar w:fldCharType="end"/>
        </w:r>
      </w:hyperlink>
    </w:p>
    <w:p w:rsidR="00A002A7" w:rsidRDefault="00F86122">
      <w:pPr>
        <w:pStyle w:val="TOC1"/>
        <w:rPr>
          <w:rFonts w:asciiTheme="minorHAnsi" w:eastAsiaTheme="minorEastAsia" w:hAnsiTheme="minorHAnsi" w:cstheme="minorBidi"/>
          <w:b w:val="0"/>
          <w:bCs w:val="0"/>
          <w:smallCaps w:val="0"/>
          <w:sz w:val="22"/>
          <w:szCs w:val="22"/>
          <w:lang w:val="en-US" w:eastAsia="en-US"/>
        </w:rPr>
      </w:pPr>
      <w:hyperlink w:anchor="_Toc79509641" w:history="1">
        <w:r w:rsidR="00A002A7" w:rsidRPr="00D51796">
          <w:rPr>
            <w:rStyle w:val="Hyperlink"/>
          </w:rPr>
          <w:t>ANEKS 5. PËRKUFIZIMET</w:t>
        </w:r>
        <w:r w:rsidR="00A002A7">
          <w:rPr>
            <w:webHidden/>
          </w:rPr>
          <w:tab/>
        </w:r>
        <w:r>
          <w:rPr>
            <w:webHidden/>
          </w:rPr>
          <w:fldChar w:fldCharType="begin"/>
        </w:r>
        <w:r w:rsidR="00A002A7">
          <w:rPr>
            <w:webHidden/>
          </w:rPr>
          <w:instrText xml:space="preserve"> PAGEREF _Toc79509641 \h </w:instrText>
        </w:r>
        <w:r>
          <w:rPr>
            <w:webHidden/>
          </w:rPr>
        </w:r>
        <w:r>
          <w:rPr>
            <w:webHidden/>
          </w:rPr>
          <w:fldChar w:fldCharType="separate"/>
        </w:r>
        <w:r w:rsidR="00A002A7">
          <w:rPr>
            <w:webHidden/>
          </w:rPr>
          <w:t>53</w:t>
        </w:r>
        <w:r>
          <w:rPr>
            <w:webHidden/>
          </w:rPr>
          <w:fldChar w:fldCharType="end"/>
        </w:r>
      </w:hyperlink>
    </w:p>
    <w:p w:rsidR="005E4F47" w:rsidRPr="007459B8" w:rsidRDefault="00F86122" w:rsidP="00BF02E2">
      <w:pPr>
        <w:spacing w:line="276" w:lineRule="auto"/>
        <w:rPr>
          <w:i/>
          <w:iCs/>
          <w:noProof/>
        </w:rPr>
      </w:pPr>
      <w:r w:rsidRPr="000F3012">
        <w:rPr>
          <w:noProof/>
        </w:rPr>
        <w:fldChar w:fldCharType="end"/>
      </w:r>
    </w:p>
    <w:p w:rsidR="00AF52CC" w:rsidRPr="001B1D14" w:rsidRDefault="00AF52CC" w:rsidP="00BF02E2">
      <w:pPr>
        <w:spacing w:line="276" w:lineRule="auto"/>
        <w:rPr>
          <w:b/>
        </w:rPr>
      </w:pPr>
    </w:p>
    <w:p w:rsidR="00130050" w:rsidRPr="000F3012" w:rsidRDefault="00130050" w:rsidP="00BF02E2">
      <w:pPr>
        <w:spacing w:line="276" w:lineRule="auto"/>
        <w:rPr>
          <w:b/>
        </w:rPr>
      </w:pPr>
    </w:p>
    <w:p w:rsidR="00CE5EC9" w:rsidRPr="007746E1" w:rsidRDefault="00CE5EC9">
      <w:pPr>
        <w:pStyle w:val="TOC1"/>
        <w:rPr>
          <w:rStyle w:val="Emphasis"/>
          <w:b w:val="0"/>
          <w:bCs w:val="0"/>
          <w:i w:val="0"/>
          <w:smallCaps w:val="0"/>
          <w:noProof w:val="0"/>
          <w:color w:val="548DD4"/>
        </w:rPr>
      </w:pPr>
    </w:p>
    <w:p w:rsidR="00CE5EC9" w:rsidRPr="001B1D14" w:rsidRDefault="00CE5EC9">
      <w:pPr>
        <w:pStyle w:val="TOC1"/>
        <w:rPr>
          <w:rStyle w:val="Emphasis"/>
          <w:i w:val="0"/>
          <w:smallCaps w:val="0"/>
          <w:color w:val="548DD4"/>
        </w:rPr>
      </w:pPr>
    </w:p>
    <w:p w:rsidR="00CE5EC9" w:rsidRPr="001B1D14" w:rsidRDefault="00CE5EC9">
      <w:pPr>
        <w:pStyle w:val="TOC1"/>
        <w:rPr>
          <w:rStyle w:val="Emphasis"/>
          <w:i w:val="0"/>
          <w:smallCaps w:val="0"/>
          <w:color w:val="548DD4"/>
        </w:rPr>
      </w:pPr>
    </w:p>
    <w:p w:rsidR="00CE5EC9" w:rsidRPr="001B1D14" w:rsidRDefault="00CE5EC9">
      <w:pPr>
        <w:pStyle w:val="TOC1"/>
        <w:rPr>
          <w:rStyle w:val="Emphasis"/>
          <w:i w:val="0"/>
          <w:smallCaps w:val="0"/>
          <w:color w:val="548DD4"/>
        </w:rPr>
      </w:pPr>
    </w:p>
    <w:p w:rsidR="00CE5EC9" w:rsidRPr="001B1D14" w:rsidRDefault="00CE5EC9">
      <w:pPr>
        <w:pStyle w:val="TOC1"/>
        <w:rPr>
          <w:rStyle w:val="Emphasis"/>
          <w:i w:val="0"/>
          <w:smallCaps w:val="0"/>
          <w:color w:val="548DD4"/>
        </w:rPr>
      </w:pPr>
    </w:p>
    <w:p w:rsidR="00BF02E2" w:rsidRPr="001B1D14" w:rsidRDefault="00BF02E2" w:rsidP="00BF02E2"/>
    <w:p w:rsidR="00BF02E2" w:rsidRPr="001B1D14" w:rsidRDefault="00BF02E2" w:rsidP="00BF02E2"/>
    <w:p w:rsidR="00BF02E2" w:rsidRPr="001B1D14" w:rsidRDefault="00BF02E2" w:rsidP="00BF02E2"/>
    <w:p w:rsidR="00BF02E2" w:rsidRPr="001B1D14" w:rsidRDefault="00BF02E2" w:rsidP="00BF02E2"/>
    <w:p w:rsidR="00BF02E2" w:rsidRPr="001B1D14" w:rsidRDefault="00BF02E2" w:rsidP="00BF02E2"/>
    <w:p w:rsidR="00BF02E2" w:rsidRPr="001B1D14" w:rsidRDefault="00BF02E2" w:rsidP="00BF02E2"/>
    <w:p w:rsidR="00BF02E2" w:rsidRPr="001B1D14" w:rsidRDefault="00BF02E2" w:rsidP="00BF02E2"/>
    <w:p w:rsidR="006F49D3" w:rsidRPr="00706041" w:rsidRDefault="006F49D3" w:rsidP="00BF02E2">
      <w:pPr>
        <w:pStyle w:val="Heading1"/>
        <w:spacing w:before="0" w:after="0" w:line="276" w:lineRule="auto"/>
        <w:rPr>
          <w:rFonts w:ascii="Times New Roman" w:hAnsi="Times New Roman"/>
          <w:color w:val="E026D7"/>
          <w:sz w:val="24"/>
          <w:szCs w:val="24"/>
        </w:rPr>
      </w:pPr>
      <w:bookmarkStart w:id="1" w:name="_Toc79509614"/>
      <w:r w:rsidRPr="00706041">
        <w:rPr>
          <w:rFonts w:ascii="Times New Roman" w:hAnsi="Times New Roman"/>
          <w:color w:val="E026D7"/>
          <w:sz w:val="24"/>
          <w:szCs w:val="24"/>
        </w:rPr>
        <w:lastRenderedPageBreak/>
        <w:t>SHKURTIMET</w:t>
      </w:r>
      <w:bookmarkEnd w:id="1"/>
    </w:p>
    <w:p w:rsidR="00D360B5" w:rsidRPr="007746E1" w:rsidRDefault="00D360B5" w:rsidP="00BF02E2">
      <w:pPr>
        <w:spacing w:line="276" w:lineRule="auto"/>
        <w:rPr>
          <w:rStyle w:val="Emphasis"/>
          <w:i w:val="0"/>
        </w:rPr>
      </w:pPr>
    </w:p>
    <w:p w:rsidR="00D360B5" w:rsidRPr="001B1D14" w:rsidRDefault="00D360B5" w:rsidP="00BF02E2">
      <w:pPr>
        <w:spacing w:line="276" w:lineRule="auto"/>
        <w:rPr>
          <w:rStyle w:val="Emphasis"/>
          <w:i w:val="0"/>
        </w:rPr>
      </w:pPr>
      <w:r w:rsidRPr="007746E1">
        <w:rPr>
          <w:rStyle w:val="Emphasis"/>
          <w:i w:val="0"/>
        </w:rPr>
        <w:t>AP</w:t>
      </w:r>
      <w:r w:rsidRPr="007746E1">
        <w:rPr>
          <w:rStyle w:val="Emphasis"/>
          <w:i w:val="0"/>
        </w:rPr>
        <w:tab/>
      </w:r>
      <w:r w:rsidRPr="007746E1">
        <w:rPr>
          <w:rStyle w:val="Emphasis"/>
          <w:i w:val="0"/>
        </w:rPr>
        <w:tab/>
        <w:t>Avokati i Popullit</w:t>
      </w:r>
    </w:p>
    <w:p w:rsidR="00D67C8F" w:rsidRPr="001B1D14" w:rsidRDefault="00D67C8F" w:rsidP="00BF02E2">
      <w:pPr>
        <w:spacing w:line="276" w:lineRule="auto"/>
        <w:rPr>
          <w:rStyle w:val="Emphasis"/>
          <w:i w:val="0"/>
          <w:iCs w:val="0"/>
        </w:rPr>
      </w:pPr>
      <w:r w:rsidRPr="007746E1">
        <w:t>ASPA</w:t>
      </w:r>
      <w:r w:rsidRPr="007746E1">
        <w:tab/>
      </w:r>
      <w:r w:rsidRPr="007746E1">
        <w:tab/>
        <w:t>Shkolla Shqiptare e Administratës Publike</w:t>
      </w:r>
    </w:p>
    <w:p w:rsidR="00B56E21" w:rsidRDefault="00B56E21" w:rsidP="00BF02E2">
      <w:pPr>
        <w:spacing w:line="276" w:lineRule="auto"/>
      </w:pPr>
      <w:r w:rsidRPr="007746E1">
        <w:t>BE</w:t>
      </w:r>
      <w:r w:rsidRPr="007746E1">
        <w:tab/>
      </w:r>
      <w:r w:rsidRPr="007746E1">
        <w:tab/>
        <w:t>Bashkimi Evropian</w:t>
      </w:r>
    </w:p>
    <w:p w:rsidR="003D368E" w:rsidRPr="001B1D14" w:rsidRDefault="003D368E" w:rsidP="00BF02E2">
      <w:pPr>
        <w:spacing w:line="276" w:lineRule="auto"/>
      </w:pPr>
      <w:r>
        <w:t>D</w:t>
      </w:r>
      <w:r w:rsidR="00F9598B">
        <w:t>H</w:t>
      </w:r>
      <w:r>
        <w:t>F</w:t>
      </w:r>
      <w:r>
        <w:tab/>
      </w:r>
      <w:r>
        <w:tab/>
        <w:t>Dhuna në Familje</w:t>
      </w:r>
    </w:p>
    <w:p w:rsidR="004D261F" w:rsidRPr="001B1D14" w:rsidRDefault="004D261F" w:rsidP="00BF02E2">
      <w:pPr>
        <w:spacing w:line="276" w:lineRule="auto"/>
      </w:pPr>
      <w:r w:rsidRPr="007746E1">
        <w:t>ECRI</w:t>
      </w:r>
      <w:r w:rsidR="003373CA" w:rsidRPr="001B1D14">
        <w:tab/>
      </w:r>
      <w:r w:rsidR="003373CA" w:rsidRPr="001B1D14">
        <w:tab/>
        <w:t>Komisioni Evropian kund</w:t>
      </w:r>
      <w:r w:rsidR="003373CA" w:rsidRPr="007746E1">
        <w:t>ë</w:t>
      </w:r>
      <w:r w:rsidR="003373CA" w:rsidRPr="001B1D14">
        <w:t>r Racizmit dhe Intoleranc</w:t>
      </w:r>
      <w:r w:rsidR="003373CA" w:rsidRPr="007746E1">
        <w:t>ë</w:t>
      </w:r>
      <w:r w:rsidR="003373CA" w:rsidRPr="001B1D14">
        <w:t xml:space="preserve">s </w:t>
      </w:r>
    </w:p>
    <w:p w:rsidR="004D261F" w:rsidRPr="001B1D14" w:rsidRDefault="004D261F" w:rsidP="00BF02E2">
      <w:pPr>
        <w:spacing w:line="276" w:lineRule="auto"/>
      </w:pPr>
      <w:r w:rsidRPr="007746E1">
        <w:t>GKZK</w:t>
      </w:r>
      <w:r w:rsidR="00860BBF" w:rsidRPr="001B1D14">
        <w:tab/>
      </w:r>
      <w:r w:rsidR="00860BBF" w:rsidRPr="001B1D14">
        <w:tab/>
        <w:t>Grupi Komb</w:t>
      </w:r>
      <w:r w:rsidR="00860BBF" w:rsidRPr="007746E1">
        <w:t>ë</w:t>
      </w:r>
      <w:r w:rsidR="00860BBF" w:rsidRPr="001B1D14">
        <w:t>tar p</w:t>
      </w:r>
      <w:r w:rsidR="00860BBF" w:rsidRPr="007746E1">
        <w:t>ë</w:t>
      </w:r>
      <w:r w:rsidR="00860BBF" w:rsidRPr="001B1D14">
        <w:t>r Zbatim dhe Koordinim</w:t>
      </w:r>
    </w:p>
    <w:p w:rsidR="00860BBF" w:rsidRPr="007746E1" w:rsidRDefault="00860BBF" w:rsidP="00860BBF">
      <w:pPr>
        <w:spacing w:line="276" w:lineRule="auto"/>
        <w:jc w:val="both"/>
        <w:textAlignment w:val="baseline"/>
        <w:rPr>
          <w:rFonts w:eastAsia="Times New Roman"/>
        </w:rPr>
      </w:pPr>
      <w:r w:rsidRPr="007746E1">
        <w:rPr>
          <w:rFonts w:eastAsia="Times New Roman"/>
        </w:rPr>
        <w:t xml:space="preserve">IDAHOT </w:t>
      </w:r>
      <w:r w:rsidRPr="007746E1">
        <w:rPr>
          <w:rFonts w:eastAsia="Times New Roman"/>
        </w:rPr>
        <w:tab/>
        <w:t>Dita Ndërkombëtare kundër Homofobisë, Transfobisë dhe Bifobisë</w:t>
      </w:r>
    </w:p>
    <w:p w:rsidR="00860BBF" w:rsidRPr="007746E1" w:rsidRDefault="00860BBF" w:rsidP="00860BBF">
      <w:pPr>
        <w:spacing w:line="276" w:lineRule="auto"/>
        <w:jc w:val="both"/>
        <w:textAlignment w:val="baseline"/>
        <w:rPr>
          <w:rFonts w:eastAsia="Times New Roman"/>
        </w:rPr>
      </w:pPr>
      <w:r w:rsidRPr="007746E1">
        <w:rPr>
          <w:rFonts w:eastAsia="Times New Roman"/>
        </w:rPr>
        <w:t xml:space="preserve">ILGA </w:t>
      </w:r>
      <w:r w:rsidRPr="007746E1">
        <w:rPr>
          <w:rFonts w:eastAsia="Times New Roman"/>
        </w:rPr>
        <w:tab/>
      </w:r>
      <w:r w:rsidRPr="007746E1">
        <w:rPr>
          <w:rFonts w:eastAsia="Times New Roman"/>
        </w:rPr>
        <w:tab/>
      </w:r>
      <w:r w:rsidR="008C7B25">
        <w:rPr>
          <w:rFonts w:eastAsia="Times New Roman"/>
        </w:rPr>
        <w:t xml:space="preserve">Shoqata </w:t>
      </w:r>
      <w:r w:rsidRPr="007746E1">
        <w:rPr>
          <w:rFonts w:eastAsia="Times New Roman"/>
        </w:rPr>
        <w:t xml:space="preserve">Ndërkombëtare </w:t>
      </w:r>
      <w:r w:rsidR="008C7B25">
        <w:rPr>
          <w:rFonts w:eastAsia="Times New Roman"/>
        </w:rPr>
        <w:t xml:space="preserve">e </w:t>
      </w:r>
      <w:r w:rsidRPr="007746E1">
        <w:rPr>
          <w:rFonts w:eastAsia="Times New Roman"/>
        </w:rPr>
        <w:t xml:space="preserve">Lezbike, </w:t>
      </w:r>
      <w:r w:rsidR="00285E9A">
        <w:rPr>
          <w:rFonts w:eastAsia="Times New Roman"/>
        </w:rPr>
        <w:t>Gej, Biseksualë, Transgjinorë, Interseks</w:t>
      </w:r>
    </w:p>
    <w:p w:rsidR="00860BBF" w:rsidRPr="007746E1" w:rsidRDefault="00860BBF" w:rsidP="00860BBF">
      <w:pPr>
        <w:spacing w:line="276" w:lineRule="auto"/>
        <w:jc w:val="both"/>
        <w:textAlignment w:val="baseline"/>
        <w:rPr>
          <w:rFonts w:eastAsia="Times New Roman"/>
        </w:rPr>
      </w:pPr>
      <w:r w:rsidRPr="007746E1">
        <w:rPr>
          <w:rFonts w:eastAsia="Times New Roman"/>
        </w:rPr>
        <w:t xml:space="preserve">INSTAT </w:t>
      </w:r>
      <w:r w:rsidRPr="007746E1">
        <w:rPr>
          <w:rFonts w:eastAsia="Times New Roman"/>
        </w:rPr>
        <w:tab/>
        <w:t xml:space="preserve">Instituti Shqiptar i Statistikave </w:t>
      </w:r>
    </w:p>
    <w:p w:rsidR="00305D21" w:rsidRPr="001B1D14" w:rsidRDefault="00305D21" w:rsidP="00BF02E2">
      <w:pPr>
        <w:spacing w:line="276" w:lineRule="auto"/>
        <w:rPr>
          <w:rStyle w:val="Emphasis"/>
          <w:i w:val="0"/>
        </w:rPr>
      </w:pPr>
      <w:r w:rsidRPr="007746E1">
        <w:rPr>
          <w:rStyle w:val="Emphasis"/>
          <w:i w:val="0"/>
        </w:rPr>
        <w:t>KE</w:t>
      </w:r>
      <w:r w:rsidRPr="007746E1">
        <w:rPr>
          <w:rStyle w:val="Emphasis"/>
          <w:i w:val="0"/>
        </w:rPr>
        <w:tab/>
      </w:r>
      <w:r w:rsidRPr="007746E1">
        <w:rPr>
          <w:rStyle w:val="Emphasis"/>
          <w:i w:val="0"/>
        </w:rPr>
        <w:tab/>
        <w:t>Këshilli i Evropës</w:t>
      </w:r>
    </w:p>
    <w:p w:rsidR="00CD1EE5" w:rsidRPr="001B1D14" w:rsidRDefault="00CD1EE5" w:rsidP="00BF02E2">
      <w:pPr>
        <w:spacing w:line="276" w:lineRule="auto"/>
      </w:pPr>
      <w:r w:rsidRPr="007746E1">
        <w:t>KMD</w:t>
      </w:r>
      <w:r w:rsidR="00860BBF" w:rsidRPr="001B1D14">
        <w:tab/>
      </w:r>
      <w:r w:rsidR="00860BBF" w:rsidRPr="001B1D14">
        <w:tab/>
      </w:r>
      <w:r w:rsidR="00C70B6F" w:rsidRPr="001B1D14">
        <w:t>Komisioneri p</w:t>
      </w:r>
      <w:r w:rsidR="00C70B6F" w:rsidRPr="007746E1">
        <w:rPr>
          <w:rFonts w:eastAsia="Times New Roman"/>
        </w:rPr>
        <w:t>ë</w:t>
      </w:r>
      <w:r w:rsidR="00C70B6F" w:rsidRPr="001B1D14">
        <w:rPr>
          <w:rFonts w:eastAsia="Times New Roman"/>
        </w:rPr>
        <w:t>r Mbrojtjen ng</w:t>
      </w:r>
      <w:r w:rsidR="007A5531">
        <w:rPr>
          <w:rFonts w:eastAsia="Times New Roman"/>
        </w:rPr>
        <w:t>a</w:t>
      </w:r>
      <w:r w:rsidR="00C70B6F" w:rsidRPr="001B1D14">
        <w:rPr>
          <w:rFonts w:eastAsia="Times New Roman"/>
        </w:rPr>
        <w:t xml:space="preserve"> Diskriminimi</w:t>
      </w:r>
    </w:p>
    <w:p w:rsidR="004D261F" w:rsidRPr="001B1D14" w:rsidRDefault="0029487E" w:rsidP="00BF02E2">
      <w:pPr>
        <w:spacing w:line="276" w:lineRule="auto"/>
        <w:rPr>
          <w:rStyle w:val="Emphasis"/>
          <w:i w:val="0"/>
          <w:iCs w:val="0"/>
        </w:rPr>
      </w:pPr>
      <w:r>
        <w:t>LGBTI</w:t>
      </w:r>
      <w:r w:rsidR="00BB57FF">
        <w:t>+</w:t>
      </w:r>
      <w:r w:rsidR="00C70B6F" w:rsidRPr="001B1D14">
        <w:tab/>
        <w:t>Lezbike, Ge</w:t>
      </w:r>
      <w:r w:rsidR="00BB57FF">
        <w:t>j</w:t>
      </w:r>
      <w:r w:rsidR="00C70B6F" w:rsidRPr="001B1D14">
        <w:t>, Biseksual</w:t>
      </w:r>
      <w:r w:rsidR="00C70B6F" w:rsidRPr="007746E1">
        <w:rPr>
          <w:rFonts w:eastAsia="Times New Roman"/>
        </w:rPr>
        <w:t>ë</w:t>
      </w:r>
      <w:r w:rsidR="00C70B6F" w:rsidRPr="001B1D14">
        <w:rPr>
          <w:rFonts w:eastAsia="Times New Roman"/>
        </w:rPr>
        <w:t>, Transgjinor</w:t>
      </w:r>
      <w:r w:rsidR="00C70B6F" w:rsidRPr="007746E1">
        <w:rPr>
          <w:rFonts w:eastAsia="Times New Roman"/>
        </w:rPr>
        <w:t>ë</w:t>
      </w:r>
      <w:r w:rsidR="00C70B6F" w:rsidRPr="001B1D14">
        <w:rPr>
          <w:rFonts w:eastAsia="Times New Roman"/>
        </w:rPr>
        <w:t xml:space="preserve">, Interseks </w:t>
      </w:r>
      <w:r w:rsidR="008C7B25">
        <w:rPr>
          <w:rFonts w:eastAsia="Times New Roman"/>
        </w:rPr>
        <w:t>+</w:t>
      </w:r>
    </w:p>
    <w:p w:rsidR="00EB4A2A" w:rsidRDefault="00EB4A2A" w:rsidP="00BF02E2">
      <w:pPr>
        <w:spacing w:line="276" w:lineRule="auto"/>
        <w:rPr>
          <w:rStyle w:val="Emphasis"/>
          <w:i w:val="0"/>
        </w:rPr>
      </w:pPr>
      <w:r w:rsidRPr="007746E1">
        <w:rPr>
          <w:rStyle w:val="Emphasis"/>
          <w:i w:val="0"/>
        </w:rPr>
        <w:t>MASR</w:t>
      </w:r>
      <w:r w:rsidRPr="001B1D14">
        <w:rPr>
          <w:rStyle w:val="Emphasis"/>
          <w:i w:val="0"/>
        </w:rPr>
        <w:tab/>
      </w:r>
      <w:r w:rsidRPr="001B1D14">
        <w:rPr>
          <w:rStyle w:val="Emphasis"/>
          <w:i w:val="0"/>
        </w:rPr>
        <w:tab/>
        <w:t>Ministria e Arsimit, Sport</w:t>
      </w:r>
      <w:r w:rsidRPr="000F3012">
        <w:rPr>
          <w:rStyle w:val="Emphasis"/>
          <w:i w:val="0"/>
        </w:rPr>
        <w:t>it dh</w:t>
      </w:r>
      <w:r w:rsidRPr="001B1D14">
        <w:rPr>
          <w:rStyle w:val="Emphasis"/>
          <w:i w:val="0"/>
        </w:rPr>
        <w:t>e Rinis</w:t>
      </w:r>
      <w:r w:rsidR="004342E9" w:rsidRPr="001B1D14">
        <w:rPr>
          <w:rStyle w:val="Emphasis"/>
          <w:i w:val="0"/>
        </w:rPr>
        <w:t>ë</w:t>
      </w:r>
    </w:p>
    <w:p w:rsidR="005D19FA" w:rsidRPr="001B1D14" w:rsidRDefault="005D19FA" w:rsidP="00BF02E2">
      <w:pPr>
        <w:spacing w:line="276" w:lineRule="auto"/>
        <w:rPr>
          <w:rStyle w:val="Emphasis"/>
          <w:i w:val="0"/>
        </w:rPr>
      </w:pPr>
      <w:r>
        <w:rPr>
          <w:rStyle w:val="Emphasis"/>
          <w:i w:val="0"/>
        </w:rPr>
        <w:t>MB</w:t>
      </w:r>
      <w:r>
        <w:rPr>
          <w:rStyle w:val="Emphasis"/>
          <w:i w:val="0"/>
        </w:rPr>
        <w:tab/>
      </w:r>
      <w:r>
        <w:rPr>
          <w:rStyle w:val="Emphasis"/>
          <w:i w:val="0"/>
        </w:rPr>
        <w:tab/>
        <w:t>Ministria e Brendshme</w:t>
      </w:r>
    </w:p>
    <w:p w:rsidR="00EB4A2A" w:rsidRPr="001B1D14" w:rsidRDefault="00EB4A2A" w:rsidP="00BF02E2">
      <w:pPr>
        <w:spacing w:line="276" w:lineRule="auto"/>
        <w:rPr>
          <w:rStyle w:val="Emphasis"/>
          <w:i w:val="0"/>
        </w:rPr>
      </w:pPr>
      <w:r w:rsidRPr="007746E1">
        <w:rPr>
          <w:rStyle w:val="Emphasis"/>
          <w:i w:val="0"/>
        </w:rPr>
        <w:t>MD</w:t>
      </w:r>
      <w:r w:rsidRPr="001B1D14">
        <w:rPr>
          <w:rStyle w:val="Emphasis"/>
          <w:i w:val="0"/>
        </w:rPr>
        <w:tab/>
      </w:r>
      <w:r w:rsidRPr="001B1D14">
        <w:rPr>
          <w:rStyle w:val="Emphasis"/>
          <w:i w:val="0"/>
        </w:rPr>
        <w:tab/>
        <w:t>Ministria e Drejtësis</w:t>
      </w:r>
      <w:r w:rsidRPr="000F3012">
        <w:rPr>
          <w:rStyle w:val="Emphasis"/>
          <w:i w:val="0"/>
        </w:rPr>
        <w:t>ë</w:t>
      </w:r>
    </w:p>
    <w:p w:rsidR="00981EA2" w:rsidRPr="001B1D14" w:rsidRDefault="00EB4A2A" w:rsidP="00706041">
      <w:pPr>
        <w:spacing w:line="276" w:lineRule="auto"/>
        <w:rPr>
          <w:rStyle w:val="Emphasis"/>
          <w:i w:val="0"/>
        </w:rPr>
      </w:pPr>
      <w:r w:rsidRPr="007746E1">
        <w:rPr>
          <w:rStyle w:val="Emphasis"/>
          <w:i w:val="0"/>
        </w:rPr>
        <w:t>MF</w:t>
      </w:r>
      <w:r w:rsidR="00FD40C2" w:rsidRPr="007746E1">
        <w:rPr>
          <w:rStyle w:val="Emphasis"/>
          <w:i w:val="0"/>
        </w:rPr>
        <w:t>E</w:t>
      </w:r>
      <w:r w:rsidRPr="001B1D14">
        <w:rPr>
          <w:rStyle w:val="Emphasis"/>
          <w:i w:val="0"/>
        </w:rPr>
        <w:tab/>
      </w:r>
      <w:r w:rsidRPr="001B1D14">
        <w:rPr>
          <w:rStyle w:val="Emphasis"/>
          <w:i w:val="0"/>
        </w:rPr>
        <w:tab/>
        <w:t>Ministria e Financave</w:t>
      </w:r>
      <w:r w:rsidR="00FD40C2" w:rsidRPr="001B1D14">
        <w:rPr>
          <w:rStyle w:val="Emphasis"/>
          <w:i w:val="0"/>
        </w:rPr>
        <w:t xml:space="preserve"> dhe Ekonomis</w:t>
      </w:r>
      <w:r w:rsidR="004342E9" w:rsidRPr="001B1D14">
        <w:rPr>
          <w:rStyle w:val="Emphasis"/>
          <w:i w:val="0"/>
        </w:rPr>
        <w:t>ë</w:t>
      </w:r>
    </w:p>
    <w:p w:rsidR="00EB4A2A" w:rsidRPr="001B1D14" w:rsidRDefault="00EB4A2A" w:rsidP="00BF02E2">
      <w:pPr>
        <w:spacing w:line="276" w:lineRule="auto"/>
        <w:rPr>
          <w:rStyle w:val="Emphasis"/>
          <w:i w:val="0"/>
        </w:rPr>
      </w:pPr>
      <w:r w:rsidRPr="007746E1">
        <w:rPr>
          <w:rStyle w:val="Emphasis"/>
          <w:i w:val="0"/>
        </w:rPr>
        <w:t>MSHMS</w:t>
      </w:r>
      <w:r w:rsidRPr="007746E1">
        <w:rPr>
          <w:rStyle w:val="Emphasis"/>
          <w:i w:val="0"/>
        </w:rPr>
        <w:tab/>
      </w:r>
      <w:r w:rsidRPr="007746E1">
        <w:rPr>
          <w:rStyle w:val="Emphasis"/>
          <w:i w:val="0"/>
          <w:lang w:val="de-DE"/>
        </w:rPr>
        <w:t>Ministria e Shëndetësisë</w:t>
      </w:r>
      <w:r w:rsidR="000C3054" w:rsidRPr="007746E1">
        <w:rPr>
          <w:rStyle w:val="Emphasis"/>
          <w:i w:val="0"/>
          <w:lang w:val="de-DE"/>
        </w:rPr>
        <w:t xml:space="preserve"> </w:t>
      </w:r>
      <w:r w:rsidRPr="007746E1">
        <w:rPr>
          <w:rStyle w:val="Emphasis"/>
          <w:i w:val="0"/>
        </w:rPr>
        <w:t>dhe Mbrojtjes Sociale</w:t>
      </w:r>
      <w:r w:rsidRPr="001B1D14">
        <w:rPr>
          <w:rStyle w:val="Emphasis"/>
          <w:i w:val="0"/>
        </w:rPr>
        <w:t xml:space="preserve">  </w:t>
      </w:r>
    </w:p>
    <w:p w:rsidR="00B05399" w:rsidRDefault="00B05399" w:rsidP="00BF02E2">
      <w:pPr>
        <w:spacing w:line="276" w:lineRule="auto"/>
        <w:rPr>
          <w:rStyle w:val="Emphasis"/>
          <w:i w:val="0"/>
          <w:lang w:val="de-DE"/>
        </w:rPr>
      </w:pPr>
      <w:r>
        <w:rPr>
          <w:rStyle w:val="Emphasis"/>
          <w:i w:val="0"/>
          <w:lang w:val="de-DE"/>
        </w:rPr>
        <w:t>MK</w:t>
      </w:r>
      <w:r>
        <w:rPr>
          <w:rStyle w:val="Emphasis"/>
          <w:i w:val="0"/>
          <w:lang w:val="de-DE"/>
        </w:rPr>
        <w:tab/>
      </w:r>
      <w:r>
        <w:rPr>
          <w:rStyle w:val="Emphasis"/>
          <w:i w:val="0"/>
          <w:lang w:val="de-DE"/>
        </w:rPr>
        <w:tab/>
        <w:t>Ministria e Kultur</w:t>
      </w:r>
      <w:r w:rsidRPr="007746E1">
        <w:rPr>
          <w:rStyle w:val="Emphasis"/>
          <w:i w:val="0"/>
          <w:lang w:val="de-DE"/>
        </w:rPr>
        <w:t>ë</w:t>
      </w:r>
      <w:r>
        <w:rPr>
          <w:rStyle w:val="Emphasis"/>
          <w:i w:val="0"/>
          <w:lang w:val="de-DE"/>
        </w:rPr>
        <w:t>s</w:t>
      </w:r>
    </w:p>
    <w:p w:rsidR="000E161C" w:rsidRPr="001B1D14" w:rsidRDefault="000E161C" w:rsidP="00BF02E2">
      <w:pPr>
        <w:spacing w:line="276" w:lineRule="auto"/>
        <w:rPr>
          <w:rStyle w:val="Emphasis"/>
          <w:i w:val="0"/>
        </w:rPr>
      </w:pPr>
      <w:r>
        <w:rPr>
          <w:rStyle w:val="Emphasis"/>
          <w:i w:val="0"/>
        </w:rPr>
        <w:t>N</w:t>
      </w:r>
      <w:r w:rsidR="006D3188">
        <w:rPr>
          <w:rStyle w:val="Emphasis"/>
          <w:i w:val="0"/>
        </w:rPr>
        <w:t>J</w:t>
      </w:r>
      <w:r>
        <w:rPr>
          <w:rStyle w:val="Emphasis"/>
          <w:i w:val="0"/>
        </w:rPr>
        <w:t>VV</w:t>
      </w:r>
      <w:r>
        <w:rPr>
          <w:rStyle w:val="Emphasis"/>
          <w:i w:val="0"/>
        </w:rPr>
        <w:tab/>
      </w:r>
      <w:r>
        <w:rPr>
          <w:rStyle w:val="Emphasis"/>
          <w:i w:val="0"/>
        </w:rPr>
        <w:tab/>
        <w:t>Njësitë e Vetëqeverisjes Vendore</w:t>
      </w:r>
    </w:p>
    <w:p w:rsidR="00EB4A2A" w:rsidRPr="001B1D14" w:rsidRDefault="00D360B5" w:rsidP="00BF02E2">
      <w:pPr>
        <w:spacing w:line="276" w:lineRule="auto"/>
        <w:rPr>
          <w:rStyle w:val="Emphasis"/>
          <w:i w:val="0"/>
        </w:rPr>
      </w:pPr>
      <w:r w:rsidRPr="007746E1">
        <w:rPr>
          <w:rStyle w:val="Emphasis"/>
          <w:i w:val="0"/>
        </w:rPr>
        <w:t>OJF</w:t>
      </w:r>
      <w:r w:rsidR="00EB4A2A" w:rsidRPr="007746E1">
        <w:rPr>
          <w:rStyle w:val="Emphasis"/>
          <w:i w:val="0"/>
        </w:rPr>
        <w:tab/>
      </w:r>
      <w:r w:rsidR="00EB4A2A" w:rsidRPr="007746E1">
        <w:rPr>
          <w:rStyle w:val="Emphasis"/>
          <w:i w:val="0"/>
        </w:rPr>
        <w:tab/>
        <w:t xml:space="preserve">Organizatë </w:t>
      </w:r>
      <w:r w:rsidRPr="007746E1">
        <w:rPr>
          <w:rStyle w:val="Emphasis"/>
          <w:i w:val="0"/>
        </w:rPr>
        <w:t>Jo-Fitimprur</w:t>
      </w:r>
      <w:r w:rsidR="00E61911" w:rsidRPr="007746E1">
        <w:rPr>
          <w:rStyle w:val="Emphasis"/>
          <w:i w:val="0"/>
        </w:rPr>
        <w:t>ë</w:t>
      </w:r>
      <w:r w:rsidRPr="007746E1">
        <w:rPr>
          <w:rStyle w:val="Emphasis"/>
          <w:i w:val="0"/>
        </w:rPr>
        <w:t>se</w:t>
      </w:r>
    </w:p>
    <w:p w:rsidR="00195C76" w:rsidRPr="000F3012" w:rsidRDefault="00195C76" w:rsidP="00BF02E2">
      <w:pPr>
        <w:spacing w:line="276" w:lineRule="auto"/>
        <w:rPr>
          <w:rStyle w:val="Emphasis"/>
          <w:i w:val="0"/>
        </w:rPr>
      </w:pPr>
      <w:r w:rsidRPr="007746E1">
        <w:rPr>
          <w:rStyle w:val="Emphasis"/>
          <w:i w:val="0"/>
        </w:rPr>
        <w:t>OSIG</w:t>
      </w:r>
      <w:r w:rsidR="006D3188">
        <w:rPr>
          <w:rStyle w:val="Emphasis"/>
          <w:i w:val="0"/>
        </w:rPr>
        <w:t>J</w:t>
      </w:r>
      <w:r w:rsidR="003511CC" w:rsidRPr="001B1D14">
        <w:rPr>
          <w:rStyle w:val="Emphasis"/>
          <w:i w:val="0"/>
        </w:rPr>
        <w:tab/>
      </w:r>
      <w:r w:rsidR="003511CC" w:rsidRPr="001B1D14">
        <w:rPr>
          <w:rStyle w:val="Emphasis"/>
          <w:i w:val="0"/>
        </w:rPr>
        <w:tab/>
        <w:t>Or</w:t>
      </w:r>
      <w:r w:rsidR="006D3188">
        <w:rPr>
          <w:rStyle w:val="Emphasis"/>
          <w:i w:val="0"/>
        </w:rPr>
        <w:t>i</w:t>
      </w:r>
      <w:r w:rsidR="003511CC" w:rsidRPr="001B1D14">
        <w:rPr>
          <w:rStyle w:val="Emphasis"/>
          <w:i w:val="0"/>
        </w:rPr>
        <w:t>entimi Seksual dhe Identiteti Gjinor</w:t>
      </w:r>
      <w:r w:rsidR="009B4B0C" w:rsidRPr="001B1D14">
        <w:rPr>
          <w:rStyle w:val="Emphasis"/>
          <w:i w:val="0"/>
        </w:rPr>
        <w:tab/>
      </w:r>
      <w:r w:rsidR="009B4B0C" w:rsidRPr="001B1D14">
        <w:rPr>
          <w:rStyle w:val="Emphasis"/>
          <w:i w:val="0"/>
        </w:rPr>
        <w:tab/>
      </w:r>
    </w:p>
    <w:p w:rsidR="00DF48B6" w:rsidRDefault="00DF48B6" w:rsidP="00BF02E2">
      <w:pPr>
        <w:spacing w:line="276" w:lineRule="auto"/>
        <w:rPr>
          <w:rStyle w:val="Emphasis"/>
          <w:i w:val="0"/>
        </w:rPr>
      </w:pPr>
      <w:r>
        <w:rPr>
          <w:rStyle w:val="Emphasis"/>
          <w:i w:val="0"/>
        </w:rPr>
        <w:t>OZHQ</w:t>
      </w:r>
      <w:r>
        <w:rPr>
          <w:rStyle w:val="Emphasis"/>
          <w:i w:val="0"/>
        </w:rPr>
        <w:tab/>
      </w:r>
      <w:r>
        <w:rPr>
          <w:rStyle w:val="Emphasis"/>
          <w:i w:val="0"/>
        </w:rPr>
        <w:tab/>
      </w:r>
      <w:r w:rsidR="006D3188">
        <w:rPr>
          <w:rStyle w:val="Emphasis"/>
          <w:i w:val="0"/>
        </w:rPr>
        <w:t>Objektivat e Zhvillimit të Qendrueshëm</w:t>
      </w:r>
    </w:p>
    <w:p w:rsidR="00F86078" w:rsidRPr="001B1D14" w:rsidRDefault="00F86078" w:rsidP="00BF02E2">
      <w:pPr>
        <w:spacing w:line="276" w:lineRule="auto"/>
        <w:rPr>
          <w:rStyle w:val="Emphasis"/>
          <w:i w:val="0"/>
        </w:rPr>
      </w:pPr>
      <w:r w:rsidRPr="007746E1">
        <w:rPr>
          <w:rStyle w:val="Emphasis"/>
          <w:i w:val="0"/>
        </w:rPr>
        <w:t>PBA</w:t>
      </w:r>
      <w:r w:rsidR="003511CC" w:rsidRPr="001B1D14">
        <w:rPr>
          <w:rStyle w:val="Emphasis"/>
          <w:i w:val="0"/>
        </w:rPr>
        <w:tab/>
      </w:r>
      <w:r w:rsidR="003511CC" w:rsidRPr="001B1D14">
        <w:rPr>
          <w:rStyle w:val="Emphasis"/>
          <w:i w:val="0"/>
        </w:rPr>
        <w:tab/>
      </w:r>
      <w:r w:rsidR="006D3188">
        <w:rPr>
          <w:rStyle w:val="Emphasis"/>
          <w:i w:val="0"/>
        </w:rPr>
        <w:t>Plani Buxhetor</w:t>
      </w:r>
      <w:r w:rsidR="003511CC" w:rsidRPr="001B1D14">
        <w:rPr>
          <w:rStyle w:val="Emphasis"/>
          <w:i w:val="0"/>
        </w:rPr>
        <w:t xml:space="preserve"> Afatmes</w:t>
      </w:r>
      <w:r w:rsidR="003511CC" w:rsidRPr="007746E1">
        <w:rPr>
          <w:rStyle w:val="Emphasis"/>
          <w:i w:val="0"/>
          <w:lang w:val="de-DE"/>
        </w:rPr>
        <w:t>ë</w:t>
      </w:r>
      <w:r w:rsidR="003511CC" w:rsidRPr="001B1D14">
        <w:rPr>
          <w:rStyle w:val="Emphasis"/>
          <w:i w:val="0"/>
          <w:lang w:val="de-DE"/>
        </w:rPr>
        <w:t>m</w:t>
      </w:r>
    </w:p>
    <w:p w:rsidR="003B7975" w:rsidRPr="001B1D14" w:rsidRDefault="003B7975" w:rsidP="00BF02E2">
      <w:pPr>
        <w:spacing w:line="276" w:lineRule="auto"/>
        <w:rPr>
          <w:rStyle w:val="Emphasis"/>
          <w:i w:val="0"/>
        </w:rPr>
      </w:pPr>
      <w:r w:rsidRPr="007746E1">
        <w:rPr>
          <w:rStyle w:val="Emphasis"/>
          <w:i w:val="0"/>
        </w:rPr>
        <w:t>PKIE</w:t>
      </w:r>
      <w:r w:rsidRPr="007746E1">
        <w:rPr>
          <w:rStyle w:val="Emphasis"/>
          <w:i w:val="0"/>
        </w:rPr>
        <w:tab/>
      </w:r>
      <w:r w:rsidRPr="007746E1">
        <w:rPr>
          <w:rStyle w:val="Emphasis"/>
          <w:i w:val="0"/>
        </w:rPr>
        <w:tab/>
        <w:t>Plani Kombëtar i Integrimit Evropian</w:t>
      </w:r>
    </w:p>
    <w:p w:rsidR="00F86078" w:rsidRPr="001B1D14" w:rsidRDefault="00F86078" w:rsidP="00BF02E2">
      <w:pPr>
        <w:spacing w:line="276" w:lineRule="auto"/>
        <w:rPr>
          <w:rStyle w:val="Emphasis"/>
          <w:i w:val="0"/>
        </w:rPr>
      </w:pPr>
      <w:r w:rsidRPr="007746E1">
        <w:rPr>
          <w:rStyle w:val="Emphasis"/>
          <w:i w:val="0"/>
        </w:rPr>
        <w:t>PKV</w:t>
      </w:r>
      <w:r w:rsidR="003511CC" w:rsidRPr="001B1D14">
        <w:rPr>
          <w:rStyle w:val="Emphasis"/>
          <w:i w:val="0"/>
        </w:rPr>
        <w:tab/>
      </w:r>
      <w:r w:rsidR="003511CC" w:rsidRPr="001B1D14">
        <w:rPr>
          <w:rStyle w:val="Emphasis"/>
          <w:i w:val="0"/>
        </w:rPr>
        <w:tab/>
        <w:t>Plani Komb</w:t>
      </w:r>
      <w:r w:rsidR="003511CC" w:rsidRPr="007746E1">
        <w:rPr>
          <w:rStyle w:val="Emphasis"/>
          <w:i w:val="0"/>
          <w:lang w:val="de-DE"/>
        </w:rPr>
        <w:t>ë</w:t>
      </w:r>
      <w:r w:rsidR="003511CC" w:rsidRPr="001B1D14">
        <w:rPr>
          <w:rStyle w:val="Emphasis"/>
          <w:i w:val="0"/>
          <w:lang w:val="de-DE"/>
        </w:rPr>
        <w:t>tar i Veprimit</w:t>
      </w:r>
    </w:p>
    <w:p w:rsidR="00BB1A48" w:rsidRPr="001B1D14" w:rsidRDefault="00BB1A48" w:rsidP="00BF02E2">
      <w:pPr>
        <w:spacing w:line="276" w:lineRule="auto"/>
      </w:pPr>
      <w:r w:rsidRPr="007746E1">
        <w:t>QKEV</w:t>
      </w:r>
      <w:r w:rsidRPr="007746E1">
        <w:tab/>
      </w:r>
      <w:r w:rsidRPr="007746E1">
        <w:tab/>
        <w:t>Qendra Komb</w:t>
      </w:r>
      <w:r w:rsidR="00E61911" w:rsidRPr="007746E1">
        <w:t>ë</w:t>
      </w:r>
      <w:r w:rsidRPr="007746E1">
        <w:t>tare p</w:t>
      </w:r>
      <w:r w:rsidR="00E61911" w:rsidRPr="007746E1">
        <w:t>ë</w:t>
      </w:r>
      <w:r w:rsidRPr="007746E1">
        <w:t>r Edukimin n</w:t>
      </w:r>
      <w:r w:rsidR="00E61911" w:rsidRPr="007746E1">
        <w:t>ë</w:t>
      </w:r>
      <w:r w:rsidRPr="007746E1">
        <w:t xml:space="preserve"> Vazhdim</w:t>
      </w:r>
    </w:p>
    <w:p w:rsidR="00EA7139" w:rsidRPr="001B1D14" w:rsidRDefault="00813B7E" w:rsidP="00BF02E2">
      <w:pPr>
        <w:spacing w:line="276" w:lineRule="auto"/>
      </w:pPr>
      <w:r w:rsidRPr="007746E1">
        <w:t>RSH</w:t>
      </w:r>
      <w:r w:rsidRPr="001B1D14">
        <w:tab/>
      </w:r>
      <w:r w:rsidRPr="001B1D14">
        <w:tab/>
        <w:t>Republika e Shqip</w:t>
      </w:r>
      <w:r w:rsidR="004342E9" w:rsidRPr="001B1D14">
        <w:t>ë</w:t>
      </w:r>
      <w:r w:rsidRPr="001B1D14">
        <w:t>ris</w:t>
      </w:r>
      <w:r w:rsidR="004342E9" w:rsidRPr="001B1D14">
        <w:t>ë</w:t>
      </w:r>
    </w:p>
    <w:p w:rsidR="00F87D35" w:rsidRPr="007746E1" w:rsidRDefault="00F87D35" w:rsidP="00BF02E2">
      <w:pPr>
        <w:spacing w:line="276" w:lineRule="auto"/>
      </w:pPr>
      <w:r w:rsidRPr="007746E1">
        <w:t>SKBGJ</w:t>
      </w:r>
      <w:r w:rsidRPr="007746E1">
        <w:tab/>
        <w:t>Strategjia Kombëtare për Barazinë Gjinore</w:t>
      </w:r>
    </w:p>
    <w:p w:rsidR="00F86078" w:rsidRPr="001B1D14" w:rsidRDefault="00F86078" w:rsidP="00F86078">
      <w:pPr>
        <w:spacing w:line="276" w:lineRule="auto"/>
      </w:pPr>
      <w:r w:rsidRPr="007746E1">
        <w:t>SHK</w:t>
      </w:r>
      <w:r w:rsidR="006D3188">
        <w:t>P</w:t>
      </w:r>
      <w:r w:rsidR="003511CC" w:rsidRPr="001B1D14">
        <w:tab/>
      </w:r>
      <w:r w:rsidR="003511CC" w:rsidRPr="001B1D14">
        <w:tab/>
        <w:t>Sh</w:t>
      </w:r>
      <w:r w:rsidR="003511CC" w:rsidRPr="007746E1">
        <w:rPr>
          <w:rStyle w:val="Emphasis"/>
          <w:i w:val="0"/>
          <w:lang w:val="de-DE"/>
        </w:rPr>
        <w:t>ë</w:t>
      </w:r>
      <w:r w:rsidR="003511CC" w:rsidRPr="001B1D14">
        <w:rPr>
          <w:rStyle w:val="Emphasis"/>
          <w:i w:val="0"/>
          <w:lang w:val="de-DE"/>
        </w:rPr>
        <w:t>rbimi Komb</w:t>
      </w:r>
      <w:r w:rsidR="003511CC" w:rsidRPr="007746E1">
        <w:rPr>
          <w:rStyle w:val="Emphasis"/>
          <w:i w:val="0"/>
          <w:lang w:val="de-DE"/>
        </w:rPr>
        <w:t>ë</w:t>
      </w:r>
      <w:r w:rsidR="003511CC" w:rsidRPr="001B1D14">
        <w:rPr>
          <w:rStyle w:val="Emphasis"/>
          <w:i w:val="0"/>
          <w:lang w:val="de-DE"/>
        </w:rPr>
        <w:t>tar i Pun</w:t>
      </w:r>
      <w:r w:rsidR="003511CC" w:rsidRPr="007746E1">
        <w:rPr>
          <w:rStyle w:val="Emphasis"/>
          <w:i w:val="0"/>
          <w:lang w:val="de-DE"/>
        </w:rPr>
        <w:t>ë</w:t>
      </w:r>
      <w:r w:rsidR="003511CC" w:rsidRPr="001B1D14">
        <w:rPr>
          <w:rStyle w:val="Emphasis"/>
          <w:i w:val="0"/>
          <w:lang w:val="de-DE"/>
        </w:rPr>
        <w:t>simit</w:t>
      </w:r>
    </w:p>
    <w:p w:rsidR="00EB4A2A" w:rsidRPr="001B1D14" w:rsidRDefault="00EB4A2A" w:rsidP="00BF02E2">
      <w:pPr>
        <w:spacing w:line="276" w:lineRule="auto"/>
        <w:rPr>
          <w:rStyle w:val="Emphasis"/>
          <w:i w:val="0"/>
        </w:rPr>
      </w:pPr>
      <w:r w:rsidRPr="007746E1">
        <w:rPr>
          <w:rStyle w:val="Emphasis"/>
          <w:i w:val="0"/>
        </w:rPr>
        <w:t>SHSSH</w:t>
      </w:r>
      <w:r w:rsidRPr="007746E1">
        <w:rPr>
          <w:rStyle w:val="Emphasis"/>
          <w:i w:val="0"/>
        </w:rPr>
        <w:tab/>
        <w:t>Shërbimi Social Shtetëror</w:t>
      </w:r>
    </w:p>
    <w:p w:rsidR="006D3188" w:rsidRDefault="00195C76" w:rsidP="00BF02E2">
      <w:pPr>
        <w:spacing w:line="276" w:lineRule="auto"/>
        <w:rPr>
          <w:rStyle w:val="Emphasis"/>
          <w:i w:val="0"/>
        </w:rPr>
      </w:pPr>
      <w:r w:rsidRPr="007746E1">
        <w:rPr>
          <w:rStyle w:val="Emphasis"/>
          <w:i w:val="0"/>
        </w:rPr>
        <w:t>Z</w:t>
      </w:r>
      <w:r w:rsidR="006D3188">
        <w:rPr>
          <w:rStyle w:val="Emphasis"/>
          <w:i w:val="0"/>
        </w:rPr>
        <w:t>V</w:t>
      </w:r>
      <w:r w:rsidRPr="007746E1">
        <w:rPr>
          <w:rStyle w:val="Emphasis"/>
          <w:i w:val="0"/>
        </w:rPr>
        <w:t>A</w:t>
      </w:r>
      <w:r w:rsidR="006D3188">
        <w:rPr>
          <w:rStyle w:val="Emphasis"/>
          <w:i w:val="0"/>
        </w:rPr>
        <w:t>P</w:t>
      </w:r>
      <w:r w:rsidR="007866B7" w:rsidRPr="007746E1">
        <w:rPr>
          <w:rStyle w:val="Emphasis"/>
          <w:i w:val="0"/>
        </w:rPr>
        <w:tab/>
      </w:r>
      <w:r w:rsidR="007866B7" w:rsidRPr="007746E1">
        <w:rPr>
          <w:rStyle w:val="Emphasis"/>
          <w:i w:val="0"/>
        </w:rPr>
        <w:tab/>
        <w:t xml:space="preserve">Zyra </w:t>
      </w:r>
      <w:r w:rsidR="006D3188">
        <w:t>Vendore e A</w:t>
      </w:r>
      <w:r w:rsidR="006D3188" w:rsidRPr="00AB63D4">
        <w:t xml:space="preserve">rsimit </w:t>
      </w:r>
      <w:r w:rsidR="006D3188">
        <w:t>P</w:t>
      </w:r>
      <w:r w:rsidR="006D3188" w:rsidRPr="00AB63D4">
        <w:t>arauniversitar</w:t>
      </w:r>
      <w:r w:rsidR="006D3188" w:rsidRPr="007746E1" w:rsidDel="006D3188">
        <w:rPr>
          <w:rStyle w:val="Emphasis"/>
          <w:i w:val="0"/>
        </w:rPr>
        <w:t xml:space="preserve"> </w:t>
      </w:r>
    </w:p>
    <w:p w:rsidR="00BB1A48" w:rsidRPr="001B1D14" w:rsidRDefault="00BB1A48" w:rsidP="00BF02E2">
      <w:pPr>
        <w:spacing w:line="276" w:lineRule="auto"/>
      </w:pPr>
    </w:p>
    <w:p w:rsidR="00BB1A48" w:rsidRPr="001B1D14" w:rsidRDefault="00BB1A48" w:rsidP="00BF02E2">
      <w:pPr>
        <w:spacing w:line="276" w:lineRule="auto"/>
      </w:pPr>
    </w:p>
    <w:p w:rsidR="00BF02E2" w:rsidRPr="001B1D14" w:rsidRDefault="00BF02E2" w:rsidP="00BF02E2">
      <w:pPr>
        <w:spacing w:line="276" w:lineRule="auto"/>
      </w:pPr>
    </w:p>
    <w:p w:rsidR="00BF02E2" w:rsidRPr="001B1D14" w:rsidRDefault="00BF02E2" w:rsidP="00BF02E2">
      <w:pPr>
        <w:spacing w:line="276" w:lineRule="auto"/>
      </w:pPr>
    </w:p>
    <w:p w:rsidR="00BF02E2" w:rsidRPr="001B1D14" w:rsidRDefault="00BF02E2" w:rsidP="00BF02E2">
      <w:pPr>
        <w:spacing w:line="276" w:lineRule="auto"/>
      </w:pPr>
    </w:p>
    <w:p w:rsidR="00BF02E2" w:rsidRPr="001B1D14" w:rsidRDefault="00BF02E2" w:rsidP="00BF02E2">
      <w:pPr>
        <w:spacing w:line="276" w:lineRule="auto"/>
      </w:pPr>
    </w:p>
    <w:p w:rsidR="00BF02E2" w:rsidRPr="001B1D14" w:rsidRDefault="00BF02E2" w:rsidP="00BF02E2">
      <w:pPr>
        <w:spacing w:line="276" w:lineRule="auto"/>
      </w:pPr>
    </w:p>
    <w:p w:rsidR="00AF52CC" w:rsidRPr="001B1D14" w:rsidRDefault="00AF52CC" w:rsidP="00BF02E2">
      <w:pPr>
        <w:spacing w:line="276" w:lineRule="auto"/>
      </w:pPr>
    </w:p>
    <w:p w:rsidR="00AF52CC" w:rsidRPr="001B1D14" w:rsidRDefault="00AF52CC" w:rsidP="00BF02E2">
      <w:pPr>
        <w:spacing w:line="276" w:lineRule="auto"/>
      </w:pPr>
    </w:p>
    <w:p w:rsidR="00AF52CC" w:rsidRPr="001B1D14" w:rsidRDefault="00AF52CC" w:rsidP="00BF02E2">
      <w:pPr>
        <w:spacing w:line="276" w:lineRule="auto"/>
      </w:pPr>
    </w:p>
    <w:p w:rsidR="00AF52CC" w:rsidRPr="001B1D14" w:rsidRDefault="00AF52CC" w:rsidP="00BF02E2">
      <w:pPr>
        <w:spacing w:line="276" w:lineRule="auto"/>
      </w:pPr>
    </w:p>
    <w:p w:rsidR="00FF2027" w:rsidRPr="001B1D14" w:rsidRDefault="005278AD" w:rsidP="00BF02E2">
      <w:pPr>
        <w:pStyle w:val="Heading1"/>
        <w:spacing w:before="0" w:after="0" w:line="276" w:lineRule="auto"/>
        <w:jc w:val="center"/>
        <w:rPr>
          <w:color w:val="4F81BD" w:themeColor="accent1"/>
        </w:rPr>
      </w:pPr>
      <w:r w:rsidRPr="001B1D14">
        <w:rPr>
          <w:rFonts w:ascii="Calibri-Light" w:eastAsiaTheme="minorHAnsi" w:hAnsi="Calibri-Light" w:cs="Calibri-Light"/>
          <w:color w:val="FFFFFF"/>
          <w:sz w:val="26"/>
          <w:szCs w:val="26"/>
          <w:lang w:eastAsia="en-US"/>
        </w:rPr>
        <w:lastRenderedPageBreak/>
        <w:t xml:space="preserve"> </w:t>
      </w:r>
      <w:bookmarkStart w:id="2" w:name="_Toc79509615"/>
      <w:r w:rsidR="00FF2027" w:rsidRPr="00706041">
        <w:rPr>
          <w:rFonts w:ascii="Times New Roman" w:hAnsi="Times New Roman"/>
          <w:color w:val="FF00FF"/>
          <w:sz w:val="28"/>
          <w:szCs w:val="28"/>
          <w:shd w:val="clear" w:color="auto" w:fill="99FFCC"/>
        </w:rPr>
        <w:t>PJESA I - KONTEKSTI STRATEGJIK</w:t>
      </w:r>
      <w:bookmarkEnd w:id="2"/>
    </w:p>
    <w:p w:rsidR="00222279" w:rsidRPr="001B1D14" w:rsidRDefault="00222279" w:rsidP="00BF02E2">
      <w:pPr>
        <w:pStyle w:val="Heading2"/>
        <w:spacing w:before="0" w:line="276" w:lineRule="auto"/>
        <w:rPr>
          <w:rFonts w:ascii="Times New Roman" w:eastAsiaTheme="minorHAnsi" w:hAnsi="Times New Roman"/>
          <w:sz w:val="24"/>
          <w:szCs w:val="24"/>
          <w:lang w:eastAsia="en-US"/>
        </w:rPr>
      </w:pPr>
    </w:p>
    <w:p w:rsidR="00130050" w:rsidRPr="00706041" w:rsidRDefault="005278AD" w:rsidP="00706041">
      <w:pPr>
        <w:pStyle w:val="Heading2"/>
        <w:shd w:val="clear" w:color="auto" w:fill="99FFCC"/>
        <w:spacing w:before="0" w:line="276" w:lineRule="auto"/>
        <w:rPr>
          <w:rFonts w:ascii="Times New Roman" w:eastAsiaTheme="minorHAnsi" w:hAnsi="Times New Roman"/>
          <w:color w:val="FF00FF"/>
          <w:sz w:val="24"/>
          <w:szCs w:val="24"/>
          <w:lang w:eastAsia="en-US"/>
        </w:rPr>
      </w:pPr>
      <w:bookmarkStart w:id="3" w:name="_Toc79509616"/>
      <w:r w:rsidRPr="00706041">
        <w:rPr>
          <w:rFonts w:ascii="Times New Roman" w:eastAsiaTheme="minorHAnsi" w:hAnsi="Times New Roman"/>
          <w:color w:val="FF00FF"/>
          <w:sz w:val="24"/>
          <w:szCs w:val="24"/>
          <w:lang w:eastAsia="en-US"/>
        </w:rPr>
        <w:t>1</w:t>
      </w:r>
      <w:r w:rsidR="00151301" w:rsidRPr="00706041">
        <w:rPr>
          <w:rFonts w:ascii="Times New Roman" w:eastAsiaTheme="minorHAnsi" w:hAnsi="Times New Roman"/>
          <w:color w:val="FF00FF"/>
          <w:sz w:val="24"/>
          <w:szCs w:val="24"/>
          <w:lang w:eastAsia="en-US"/>
        </w:rPr>
        <w:t>.</w:t>
      </w:r>
      <w:r w:rsidRPr="00706041">
        <w:rPr>
          <w:rFonts w:ascii="Times New Roman" w:eastAsiaTheme="minorHAnsi" w:hAnsi="Times New Roman"/>
          <w:color w:val="FF00FF"/>
          <w:sz w:val="24"/>
          <w:szCs w:val="24"/>
          <w:lang w:eastAsia="en-US"/>
        </w:rPr>
        <w:t xml:space="preserve"> Hyrja dhe </w:t>
      </w:r>
      <w:r w:rsidR="00BB1A48" w:rsidRPr="00706041">
        <w:rPr>
          <w:rFonts w:ascii="Times New Roman" w:eastAsiaTheme="minorHAnsi" w:hAnsi="Times New Roman"/>
          <w:color w:val="FF00FF"/>
          <w:sz w:val="24"/>
          <w:szCs w:val="24"/>
          <w:lang w:eastAsia="en-US"/>
        </w:rPr>
        <w:t>q</w:t>
      </w:r>
      <w:r w:rsidR="003741E5" w:rsidRPr="00706041">
        <w:rPr>
          <w:rFonts w:ascii="Times New Roman" w:eastAsiaTheme="minorHAnsi" w:hAnsi="Times New Roman"/>
          <w:color w:val="FF00FF"/>
          <w:sz w:val="24"/>
          <w:szCs w:val="24"/>
          <w:lang w:eastAsia="en-US"/>
        </w:rPr>
        <w:t>ë</w:t>
      </w:r>
      <w:r w:rsidR="00BB1A48" w:rsidRPr="00706041">
        <w:rPr>
          <w:rFonts w:ascii="Times New Roman" w:eastAsiaTheme="minorHAnsi" w:hAnsi="Times New Roman"/>
          <w:color w:val="FF00FF"/>
          <w:sz w:val="24"/>
          <w:szCs w:val="24"/>
          <w:lang w:eastAsia="en-US"/>
        </w:rPr>
        <w:t>llimi i d</w:t>
      </w:r>
      <w:r w:rsidRPr="00706041">
        <w:rPr>
          <w:rFonts w:ascii="Times New Roman" w:eastAsiaTheme="minorHAnsi" w:hAnsi="Times New Roman"/>
          <w:color w:val="FF00FF"/>
          <w:sz w:val="24"/>
          <w:szCs w:val="24"/>
          <w:lang w:eastAsia="en-US"/>
        </w:rPr>
        <w:t>okumentit</w:t>
      </w:r>
      <w:r w:rsidR="00BB1A48" w:rsidRPr="00706041">
        <w:rPr>
          <w:rFonts w:ascii="Times New Roman" w:eastAsiaTheme="minorHAnsi" w:hAnsi="Times New Roman"/>
          <w:color w:val="FF00FF"/>
          <w:sz w:val="24"/>
          <w:szCs w:val="24"/>
          <w:lang w:eastAsia="en-US"/>
        </w:rPr>
        <w:t xml:space="preserve"> strategjik</w:t>
      </w:r>
      <w:bookmarkEnd w:id="3"/>
    </w:p>
    <w:p w:rsidR="00222279" w:rsidRPr="001B1D14" w:rsidRDefault="00222279" w:rsidP="00BF02E2">
      <w:pPr>
        <w:spacing w:line="276" w:lineRule="auto"/>
        <w:jc w:val="both"/>
        <w:rPr>
          <w:szCs w:val="22"/>
        </w:rPr>
      </w:pPr>
    </w:p>
    <w:p w:rsidR="00866C6D" w:rsidRDefault="00866C6D" w:rsidP="00866C6D">
      <w:pPr>
        <w:spacing w:line="276" w:lineRule="auto"/>
        <w:jc w:val="both"/>
        <w:rPr>
          <w:szCs w:val="22"/>
        </w:rPr>
      </w:pPr>
      <w:r w:rsidRPr="00C415A4">
        <w:rPr>
          <w:szCs w:val="22"/>
        </w:rPr>
        <w:t>“</w:t>
      </w:r>
      <w:r>
        <w:rPr>
          <w:szCs w:val="22"/>
        </w:rPr>
        <w:t>Plani Komb</w:t>
      </w:r>
      <w:r w:rsidR="00C1229F">
        <w:rPr>
          <w:szCs w:val="22"/>
        </w:rPr>
        <w:t>ë</w:t>
      </w:r>
      <w:r>
        <w:rPr>
          <w:szCs w:val="22"/>
        </w:rPr>
        <w:t>tar i Veprimit p</w:t>
      </w:r>
      <w:r w:rsidR="00C1229F">
        <w:rPr>
          <w:szCs w:val="22"/>
        </w:rPr>
        <w:t>ë</w:t>
      </w:r>
      <w:r>
        <w:rPr>
          <w:szCs w:val="22"/>
        </w:rPr>
        <w:t>r personat LGBTI+</w:t>
      </w:r>
      <w:r w:rsidR="00C1229F">
        <w:rPr>
          <w:szCs w:val="22"/>
        </w:rPr>
        <w:t xml:space="preserve"> 2021 - 2027</w:t>
      </w:r>
      <w:r w:rsidRPr="00C415A4">
        <w:rPr>
          <w:szCs w:val="22"/>
        </w:rPr>
        <w:t>” (këtu e në vijim “</w:t>
      </w:r>
      <w:r w:rsidR="00C1229F">
        <w:rPr>
          <w:szCs w:val="22"/>
        </w:rPr>
        <w:t>PKV LGBTI+ 2021 - 2027</w:t>
      </w:r>
      <w:r w:rsidRPr="00C415A4">
        <w:rPr>
          <w:szCs w:val="22"/>
        </w:rPr>
        <w:t xml:space="preserve">”) </w:t>
      </w:r>
      <w:r>
        <w:rPr>
          <w:szCs w:val="22"/>
        </w:rPr>
        <w:t>u përgatit</w:t>
      </w:r>
      <w:r w:rsidRPr="00C415A4">
        <w:rPr>
          <w:szCs w:val="22"/>
        </w:rPr>
        <w:t xml:space="preserve"> në emër të Qeverisë së Shqipërisë nga Ministria e Shëndetësisë dhe Mbrojtjes Sociale, në koordinim dhe konsultim me ministritë e tjera përgjegjëse, njësitë e vetëqeverisjes vendore, institucionet e pavarura, organizatat e shoqërisë civile</w:t>
      </w:r>
      <w:r w:rsidR="00C1229F">
        <w:rPr>
          <w:szCs w:val="22"/>
        </w:rPr>
        <w:t>, sidomos ato të vetë personave LGBTI+ apo me fokus kryesor këtë grup të synuar</w:t>
      </w:r>
      <w:r w:rsidRPr="00C415A4">
        <w:rPr>
          <w:szCs w:val="22"/>
        </w:rPr>
        <w:t xml:space="preserve">, si dhe organizatat ndërkombëtare, të cilat punojnë për </w:t>
      </w:r>
      <w:r w:rsidR="00C1229F">
        <w:rPr>
          <w:szCs w:val="22"/>
        </w:rPr>
        <w:t xml:space="preserve">mbrojtjen e të drejtave njerëzore, barazinë dhe mosdiskriminimin </w:t>
      </w:r>
      <w:r w:rsidRPr="00C415A4">
        <w:rPr>
          <w:szCs w:val="22"/>
        </w:rPr>
        <w:t xml:space="preserve">në Shqipëri. </w:t>
      </w:r>
    </w:p>
    <w:p w:rsidR="00866C6D" w:rsidRDefault="00866C6D" w:rsidP="00044AC3">
      <w:pPr>
        <w:pStyle w:val="NoSpacing"/>
        <w:spacing w:line="276" w:lineRule="auto"/>
        <w:jc w:val="both"/>
        <w:rPr>
          <w:rFonts w:ascii="Times New Roman" w:hAnsi="Times New Roman" w:cs="Times New Roman"/>
        </w:rPr>
      </w:pPr>
    </w:p>
    <w:p w:rsidR="00EE41BE" w:rsidRPr="00CC6F36" w:rsidRDefault="00C1229F" w:rsidP="0005701D">
      <w:pPr>
        <w:pStyle w:val="NoSpacing"/>
        <w:spacing w:line="276" w:lineRule="auto"/>
        <w:jc w:val="both"/>
        <w:rPr>
          <w:b/>
          <w:bCs/>
          <w:iCs/>
        </w:rPr>
      </w:pPr>
      <w:r>
        <w:rPr>
          <w:rFonts w:ascii="Times New Roman" w:hAnsi="Times New Roman" w:cs="Times New Roman"/>
        </w:rPr>
        <w:t xml:space="preserve">I konceptuar si </w:t>
      </w:r>
      <w:r w:rsidRPr="00C1229F">
        <w:rPr>
          <w:rFonts w:ascii="Times New Roman" w:hAnsi="Times New Roman" w:cs="Times New Roman"/>
        </w:rPr>
        <w:t xml:space="preserve">vijim dhe </w:t>
      </w:r>
      <w:r>
        <w:rPr>
          <w:rFonts w:ascii="Times New Roman" w:hAnsi="Times New Roman" w:cs="Times New Roman"/>
        </w:rPr>
        <w:t>i</w:t>
      </w:r>
      <w:r w:rsidRPr="00C1229F">
        <w:rPr>
          <w:rFonts w:ascii="Times New Roman" w:hAnsi="Times New Roman" w:cs="Times New Roman"/>
        </w:rPr>
        <w:t xml:space="preserve"> lidhur logjikisht me</w:t>
      </w:r>
      <w:r>
        <w:rPr>
          <w:rFonts w:ascii="Times New Roman" w:hAnsi="Times New Roman" w:cs="Times New Roman"/>
        </w:rPr>
        <w:t xml:space="preserve"> Planin e m</w:t>
      </w:r>
      <w:r w:rsidR="00AC1EB1">
        <w:rPr>
          <w:rFonts w:ascii="Times New Roman" w:hAnsi="Times New Roman" w:cs="Times New Roman"/>
        </w:rPr>
        <w:t>ë</w:t>
      </w:r>
      <w:r>
        <w:rPr>
          <w:rFonts w:ascii="Times New Roman" w:hAnsi="Times New Roman" w:cs="Times New Roman"/>
        </w:rPr>
        <w:t>parsh</w:t>
      </w:r>
      <w:r w:rsidR="00AC1EB1">
        <w:rPr>
          <w:rFonts w:ascii="Times New Roman" w:hAnsi="Times New Roman" w:cs="Times New Roman"/>
        </w:rPr>
        <w:t>ë</w:t>
      </w:r>
      <w:r>
        <w:rPr>
          <w:rFonts w:ascii="Times New Roman" w:hAnsi="Times New Roman" w:cs="Times New Roman"/>
        </w:rPr>
        <w:t>m Komb</w:t>
      </w:r>
      <w:r w:rsidR="00AC1EB1">
        <w:rPr>
          <w:rFonts w:ascii="Times New Roman" w:hAnsi="Times New Roman" w:cs="Times New Roman"/>
        </w:rPr>
        <w:t>ë</w:t>
      </w:r>
      <w:r>
        <w:rPr>
          <w:rFonts w:ascii="Times New Roman" w:hAnsi="Times New Roman" w:cs="Times New Roman"/>
        </w:rPr>
        <w:t>tar t</w:t>
      </w:r>
      <w:r w:rsidR="00AC1EB1">
        <w:rPr>
          <w:rFonts w:ascii="Times New Roman" w:hAnsi="Times New Roman" w:cs="Times New Roman"/>
        </w:rPr>
        <w:t>ë</w:t>
      </w:r>
      <w:r>
        <w:rPr>
          <w:rFonts w:ascii="Times New Roman" w:hAnsi="Times New Roman" w:cs="Times New Roman"/>
        </w:rPr>
        <w:t xml:space="preserve"> Veprimit p</w:t>
      </w:r>
      <w:r w:rsidR="00AC1EB1">
        <w:rPr>
          <w:rFonts w:ascii="Times New Roman" w:hAnsi="Times New Roman" w:cs="Times New Roman"/>
        </w:rPr>
        <w:t>ë</w:t>
      </w:r>
      <w:r>
        <w:rPr>
          <w:rFonts w:ascii="Times New Roman" w:hAnsi="Times New Roman" w:cs="Times New Roman"/>
        </w:rPr>
        <w:t>r personat LGBTI n</w:t>
      </w:r>
      <w:r w:rsidR="00AC1EB1">
        <w:rPr>
          <w:rFonts w:ascii="Times New Roman" w:hAnsi="Times New Roman" w:cs="Times New Roman"/>
        </w:rPr>
        <w:t>ë</w:t>
      </w:r>
      <w:r>
        <w:rPr>
          <w:rFonts w:ascii="Times New Roman" w:hAnsi="Times New Roman" w:cs="Times New Roman"/>
        </w:rPr>
        <w:t xml:space="preserve"> Republik</w:t>
      </w:r>
      <w:r w:rsidR="00AC1EB1">
        <w:rPr>
          <w:rFonts w:ascii="Times New Roman" w:hAnsi="Times New Roman" w:cs="Times New Roman"/>
        </w:rPr>
        <w:t>ë</w:t>
      </w:r>
      <w:r>
        <w:rPr>
          <w:rFonts w:ascii="Times New Roman" w:hAnsi="Times New Roman" w:cs="Times New Roman"/>
        </w:rPr>
        <w:t>n e Shqip</w:t>
      </w:r>
      <w:r w:rsidR="00AC1EB1">
        <w:rPr>
          <w:rFonts w:ascii="Times New Roman" w:hAnsi="Times New Roman" w:cs="Times New Roman"/>
        </w:rPr>
        <w:t>ë</w:t>
      </w:r>
      <w:r>
        <w:rPr>
          <w:rFonts w:ascii="Times New Roman" w:hAnsi="Times New Roman" w:cs="Times New Roman"/>
        </w:rPr>
        <w:t>ris</w:t>
      </w:r>
      <w:r w:rsidR="00AC1EB1">
        <w:rPr>
          <w:rFonts w:ascii="Times New Roman" w:hAnsi="Times New Roman" w:cs="Times New Roman"/>
        </w:rPr>
        <w:t>ë</w:t>
      </w:r>
      <w:r>
        <w:rPr>
          <w:rFonts w:ascii="Times New Roman" w:hAnsi="Times New Roman" w:cs="Times New Roman"/>
        </w:rPr>
        <w:t xml:space="preserve"> 2016-2020</w:t>
      </w:r>
      <w:r w:rsidR="00EE41BE">
        <w:rPr>
          <w:rStyle w:val="FootnoteReference"/>
          <w:rFonts w:ascii="Times New Roman" w:hAnsi="Times New Roman" w:cs="Times New Roman"/>
        </w:rPr>
        <w:footnoteReference w:id="1"/>
      </w:r>
      <w:r>
        <w:rPr>
          <w:rFonts w:ascii="Times New Roman" w:hAnsi="Times New Roman" w:cs="Times New Roman"/>
        </w:rPr>
        <w:t xml:space="preserve"> </w:t>
      </w:r>
      <w:r w:rsidR="00EE41BE">
        <w:rPr>
          <w:rFonts w:ascii="Times New Roman" w:hAnsi="Times New Roman" w:cs="Times New Roman"/>
        </w:rPr>
        <w:t>“PKV</w:t>
      </w:r>
      <w:r w:rsidR="00AC1EB1">
        <w:rPr>
          <w:rFonts w:ascii="Times New Roman" w:hAnsi="Times New Roman" w:cs="Times New Roman"/>
        </w:rPr>
        <w:t xml:space="preserve"> </w:t>
      </w:r>
      <w:r w:rsidR="00EE41BE">
        <w:rPr>
          <w:rFonts w:ascii="Times New Roman" w:hAnsi="Times New Roman" w:cs="Times New Roman"/>
        </w:rPr>
        <w:t xml:space="preserve">LGBTI+ 2021 – 2027” </w:t>
      </w:r>
      <w:r w:rsidRPr="00C1229F">
        <w:rPr>
          <w:rFonts w:ascii="Times New Roman" w:hAnsi="Times New Roman" w:cs="Times New Roman"/>
        </w:rPr>
        <w:t>përbën një u</w:t>
      </w:r>
      <w:r w:rsidR="00EE41BE">
        <w:rPr>
          <w:rFonts w:ascii="Times New Roman" w:hAnsi="Times New Roman" w:cs="Times New Roman"/>
        </w:rPr>
        <w:t xml:space="preserve">dhërrëfyes drejt një shoqërie </w:t>
      </w:r>
      <w:r w:rsidR="00EE41BE" w:rsidRPr="0005701D">
        <w:rPr>
          <w:rFonts w:ascii="Times New Roman" w:hAnsi="Times New Roman" w:cs="Times New Roman"/>
          <w:iCs/>
        </w:rPr>
        <w:t>gjithëpërfshirëse</w:t>
      </w:r>
      <w:r w:rsidR="00EE41BE">
        <w:rPr>
          <w:rFonts w:ascii="Times New Roman" w:hAnsi="Times New Roman" w:cs="Times New Roman"/>
          <w:iCs/>
        </w:rPr>
        <w:t>, pranuese dhe jo diskriminuese p</w:t>
      </w:r>
      <w:r w:rsidR="00AC1EB1">
        <w:rPr>
          <w:rFonts w:ascii="Times New Roman" w:hAnsi="Times New Roman" w:cs="Times New Roman"/>
          <w:iCs/>
        </w:rPr>
        <w:t>ë</w:t>
      </w:r>
      <w:r w:rsidR="00EE41BE">
        <w:rPr>
          <w:rFonts w:ascii="Times New Roman" w:hAnsi="Times New Roman" w:cs="Times New Roman"/>
          <w:iCs/>
        </w:rPr>
        <w:t>r t</w:t>
      </w:r>
      <w:r w:rsidR="00AC1EB1">
        <w:rPr>
          <w:rFonts w:ascii="Times New Roman" w:hAnsi="Times New Roman" w:cs="Times New Roman"/>
          <w:iCs/>
        </w:rPr>
        <w:t>ë</w:t>
      </w:r>
      <w:r w:rsidR="00EE41BE">
        <w:rPr>
          <w:rFonts w:ascii="Times New Roman" w:hAnsi="Times New Roman" w:cs="Times New Roman"/>
          <w:iCs/>
        </w:rPr>
        <w:t xml:space="preserve"> gjith</w:t>
      </w:r>
      <w:r w:rsidR="00AC1EB1">
        <w:rPr>
          <w:rFonts w:ascii="Times New Roman" w:hAnsi="Times New Roman" w:cs="Times New Roman"/>
          <w:iCs/>
        </w:rPr>
        <w:t>ë</w:t>
      </w:r>
      <w:r w:rsidR="00EE41BE">
        <w:rPr>
          <w:rFonts w:ascii="Times New Roman" w:hAnsi="Times New Roman" w:cs="Times New Roman"/>
          <w:iCs/>
        </w:rPr>
        <w:t xml:space="preserve"> personat LGBTI+, t</w:t>
      </w:r>
      <w:r w:rsidR="00AC1EB1">
        <w:rPr>
          <w:rFonts w:ascii="Times New Roman" w:hAnsi="Times New Roman" w:cs="Times New Roman"/>
          <w:iCs/>
        </w:rPr>
        <w:t>ë</w:t>
      </w:r>
      <w:r w:rsidR="00EE41BE">
        <w:rPr>
          <w:rFonts w:ascii="Times New Roman" w:hAnsi="Times New Roman" w:cs="Times New Roman"/>
          <w:iCs/>
        </w:rPr>
        <w:t xml:space="preserve"> cil</w:t>
      </w:r>
      <w:r w:rsidR="00AC1EB1">
        <w:rPr>
          <w:rFonts w:ascii="Times New Roman" w:hAnsi="Times New Roman" w:cs="Times New Roman"/>
          <w:iCs/>
        </w:rPr>
        <w:t>ë</w:t>
      </w:r>
      <w:r w:rsidR="00EE41BE">
        <w:rPr>
          <w:rFonts w:ascii="Times New Roman" w:hAnsi="Times New Roman" w:cs="Times New Roman"/>
          <w:iCs/>
        </w:rPr>
        <w:t>t kan</w:t>
      </w:r>
      <w:r w:rsidR="00AC1EB1">
        <w:rPr>
          <w:rFonts w:ascii="Times New Roman" w:hAnsi="Times New Roman" w:cs="Times New Roman"/>
          <w:iCs/>
        </w:rPr>
        <w:t>ë</w:t>
      </w:r>
      <w:r w:rsidR="00EE41BE">
        <w:rPr>
          <w:rFonts w:ascii="Times New Roman" w:hAnsi="Times New Roman" w:cs="Times New Roman"/>
          <w:iCs/>
        </w:rPr>
        <w:t xml:space="preserve"> lirin</w:t>
      </w:r>
      <w:r w:rsidR="00AC1EB1">
        <w:rPr>
          <w:rFonts w:ascii="Times New Roman" w:hAnsi="Times New Roman" w:cs="Times New Roman"/>
          <w:iCs/>
        </w:rPr>
        <w:t>ë</w:t>
      </w:r>
      <w:r w:rsidR="00EE41BE">
        <w:rPr>
          <w:rFonts w:ascii="Times New Roman" w:hAnsi="Times New Roman" w:cs="Times New Roman"/>
          <w:iCs/>
        </w:rPr>
        <w:t xml:space="preserve"> e qenit vetvetja</w:t>
      </w:r>
      <w:r w:rsidR="00AC1EB1">
        <w:rPr>
          <w:rFonts w:ascii="Times New Roman" w:hAnsi="Times New Roman" w:cs="Times New Roman"/>
          <w:iCs/>
        </w:rPr>
        <w:t xml:space="preserve">; </w:t>
      </w:r>
      <w:r w:rsidR="00EE41BE">
        <w:rPr>
          <w:rFonts w:ascii="Times New Roman" w:hAnsi="Times New Roman" w:cs="Times New Roman"/>
          <w:iCs/>
        </w:rPr>
        <w:t>trajtohen n</w:t>
      </w:r>
      <w:r w:rsidR="00AC1EB1">
        <w:rPr>
          <w:rFonts w:ascii="Times New Roman" w:hAnsi="Times New Roman" w:cs="Times New Roman"/>
          <w:iCs/>
        </w:rPr>
        <w:t>ë</w:t>
      </w:r>
      <w:r w:rsidR="00EE41BE">
        <w:rPr>
          <w:rFonts w:ascii="Times New Roman" w:hAnsi="Times New Roman" w:cs="Times New Roman"/>
          <w:iCs/>
        </w:rPr>
        <w:t xml:space="preserve"> m</w:t>
      </w:r>
      <w:r w:rsidR="00AC1EB1">
        <w:rPr>
          <w:rFonts w:ascii="Times New Roman" w:hAnsi="Times New Roman" w:cs="Times New Roman"/>
          <w:iCs/>
        </w:rPr>
        <w:t>ë</w:t>
      </w:r>
      <w:r w:rsidR="00EE41BE">
        <w:rPr>
          <w:rFonts w:ascii="Times New Roman" w:hAnsi="Times New Roman" w:cs="Times New Roman"/>
          <w:iCs/>
        </w:rPr>
        <w:t>nyr</w:t>
      </w:r>
      <w:r w:rsidR="00AC1EB1">
        <w:rPr>
          <w:rFonts w:ascii="Times New Roman" w:hAnsi="Times New Roman" w:cs="Times New Roman"/>
          <w:iCs/>
        </w:rPr>
        <w:t>ë</w:t>
      </w:r>
      <w:r w:rsidR="00EE41BE">
        <w:rPr>
          <w:rFonts w:ascii="Times New Roman" w:hAnsi="Times New Roman" w:cs="Times New Roman"/>
          <w:iCs/>
        </w:rPr>
        <w:t>n e duhur, sipas standardeve</w:t>
      </w:r>
      <w:r w:rsidR="00AC1EB1">
        <w:rPr>
          <w:rFonts w:ascii="Times New Roman" w:hAnsi="Times New Roman" w:cs="Times New Roman"/>
          <w:iCs/>
        </w:rPr>
        <w:t xml:space="preserve"> të zbatueshme kombëtare të harmonizuara me ato ndërkombëtare; kanë qasje në shërbime publike cilësore apo shërbime mbështetëse të specializuara, të disponueshme në mbarë vendin dhe në përputhje me nevojat specifike të tyre; si dhe marrin pjesë aktivisht në të gjitha fushat e jetës, </w:t>
      </w:r>
      <w:r w:rsidR="00EE41BE" w:rsidRPr="00EE41BE">
        <w:rPr>
          <w:rFonts w:ascii="Times New Roman" w:hAnsi="Times New Roman" w:cs="Times New Roman"/>
          <w:iCs/>
        </w:rPr>
        <w:t>pavarësisht shprehjes së identitetit gjinor</w:t>
      </w:r>
      <w:r w:rsidR="00EE41BE">
        <w:rPr>
          <w:rFonts w:ascii="Times New Roman" w:hAnsi="Times New Roman" w:cs="Times New Roman"/>
          <w:iCs/>
        </w:rPr>
        <w:t>, orientimit seksual, karakteristikave t</w:t>
      </w:r>
      <w:r w:rsidR="00AC1EB1">
        <w:rPr>
          <w:rFonts w:ascii="Times New Roman" w:hAnsi="Times New Roman" w:cs="Times New Roman"/>
          <w:iCs/>
        </w:rPr>
        <w:t>ë</w:t>
      </w:r>
      <w:r w:rsidR="00EE41BE">
        <w:rPr>
          <w:rFonts w:ascii="Times New Roman" w:hAnsi="Times New Roman" w:cs="Times New Roman"/>
          <w:iCs/>
        </w:rPr>
        <w:t xml:space="preserve"> seksit apo tërësis</w:t>
      </w:r>
      <w:r w:rsidR="00AC1EB1">
        <w:rPr>
          <w:rFonts w:ascii="Times New Roman" w:hAnsi="Times New Roman" w:cs="Times New Roman"/>
          <w:iCs/>
        </w:rPr>
        <w:t>ë</w:t>
      </w:r>
      <w:r w:rsidR="00EE41BE">
        <w:rPr>
          <w:rFonts w:ascii="Times New Roman" w:hAnsi="Times New Roman" w:cs="Times New Roman"/>
          <w:iCs/>
        </w:rPr>
        <w:t xml:space="preserve"> s</w:t>
      </w:r>
      <w:r w:rsidR="00AC1EB1">
        <w:rPr>
          <w:rFonts w:ascii="Times New Roman" w:hAnsi="Times New Roman" w:cs="Times New Roman"/>
          <w:iCs/>
        </w:rPr>
        <w:t>ë</w:t>
      </w:r>
      <w:r w:rsidR="00EE41BE" w:rsidRPr="00EE41BE">
        <w:rPr>
          <w:rFonts w:ascii="Times New Roman" w:hAnsi="Times New Roman" w:cs="Times New Roman"/>
          <w:iCs/>
        </w:rPr>
        <w:t xml:space="preserve"> karakteristikave të tjera individuale</w:t>
      </w:r>
      <w:r w:rsidR="00EE41BE">
        <w:rPr>
          <w:rFonts w:ascii="Times New Roman" w:hAnsi="Times New Roman" w:cs="Times New Roman"/>
          <w:iCs/>
        </w:rPr>
        <w:t xml:space="preserve"> t</w:t>
      </w:r>
      <w:r w:rsidR="00AC1EB1">
        <w:rPr>
          <w:rFonts w:ascii="Times New Roman" w:hAnsi="Times New Roman" w:cs="Times New Roman"/>
          <w:iCs/>
        </w:rPr>
        <w:t>ë</w:t>
      </w:r>
      <w:r w:rsidR="00EE41BE">
        <w:rPr>
          <w:rFonts w:ascii="Times New Roman" w:hAnsi="Times New Roman" w:cs="Times New Roman"/>
          <w:iCs/>
        </w:rPr>
        <w:t xml:space="preserve"> tyre</w:t>
      </w:r>
      <w:r w:rsidR="00EE41BE" w:rsidRPr="00EE41BE">
        <w:rPr>
          <w:rFonts w:ascii="Times New Roman" w:hAnsi="Times New Roman" w:cs="Times New Roman"/>
          <w:iCs/>
        </w:rPr>
        <w:t xml:space="preserve">. </w:t>
      </w:r>
      <w:r w:rsidR="00EE41BE" w:rsidRPr="0005701D">
        <w:rPr>
          <w:rFonts w:ascii="Times New Roman" w:hAnsi="Times New Roman" w:cs="Times New Roman"/>
          <w:iCs/>
        </w:rPr>
        <w:t xml:space="preserve"> </w:t>
      </w:r>
    </w:p>
    <w:p w:rsidR="00EE41BE" w:rsidRDefault="00EE41BE" w:rsidP="00044AC3">
      <w:pPr>
        <w:pStyle w:val="NoSpacing"/>
        <w:spacing w:line="276" w:lineRule="auto"/>
        <w:jc w:val="both"/>
        <w:rPr>
          <w:rFonts w:ascii="Times New Roman" w:hAnsi="Times New Roman" w:cs="Times New Roman"/>
        </w:rPr>
      </w:pPr>
    </w:p>
    <w:p w:rsidR="0048651A" w:rsidRDefault="004F7CE4" w:rsidP="004F7CE4">
      <w:pPr>
        <w:spacing w:line="276" w:lineRule="auto"/>
        <w:jc w:val="both"/>
      </w:pPr>
      <w:r w:rsidRPr="00C415A4">
        <w:rPr>
          <w:szCs w:val="22"/>
        </w:rPr>
        <w:t>“</w:t>
      </w:r>
      <w:r w:rsidR="00752A53">
        <w:t>PKV LGBTI+ 2021 – 2027</w:t>
      </w:r>
      <w:r w:rsidRPr="00C415A4">
        <w:rPr>
          <w:szCs w:val="22"/>
        </w:rPr>
        <w:t xml:space="preserve">” është </w:t>
      </w:r>
      <w:r w:rsidR="007E11A3">
        <w:rPr>
          <w:szCs w:val="22"/>
        </w:rPr>
        <w:t xml:space="preserve">i treti </w:t>
      </w:r>
      <w:r w:rsidR="00752A53">
        <w:rPr>
          <w:szCs w:val="22"/>
        </w:rPr>
        <w:t>plan veprimi n</w:t>
      </w:r>
      <w:r w:rsidR="00F007CB">
        <w:rPr>
          <w:szCs w:val="22"/>
        </w:rPr>
        <w:t>ë</w:t>
      </w:r>
      <w:r w:rsidR="00752A53">
        <w:rPr>
          <w:szCs w:val="22"/>
        </w:rPr>
        <w:t xml:space="preserve"> nivel komb</w:t>
      </w:r>
      <w:r w:rsidR="00F007CB">
        <w:rPr>
          <w:szCs w:val="22"/>
        </w:rPr>
        <w:t>ë</w:t>
      </w:r>
      <w:r w:rsidR="00752A53">
        <w:rPr>
          <w:szCs w:val="22"/>
        </w:rPr>
        <w:t>tar me fokus mbrojtjen e t</w:t>
      </w:r>
      <w:r w:rsidR="00F007CB">
        <w:rPr>
          <w:szCs w:val="22"/>
        </w:rPr>
        <w:t>ë</w:t>
      </w:r>
      <w:r w:rsidR="00752A53">
        <w:rPr>
          <w:szCs w:val="22"/>
        </w:rPr>
        <w:t xml:space="preserve"> drejtave, ofrimin e sh</w:t>
      </w:r>
      <w:r w:rsidR="00F007CB">
        <w:rPr>
          <w:szCs w:val="22"/>
        </w:rPr>
        <w:t>ë</w:t>
      </w:r>
      <w:r w:rsidR="00752A53">
        <w:rPr>
          <w:szCs w:val="22"/>
        </w:rPr>
        <w:t>rbimeve cil</w:t>
      </w:r>
      <w:r w:rsidR="00F007CB">
        <w:rPr>
          <w:szCs w:val="22"/>
        </w:rPr>
        <w:t>ë</w:t>
      </w:r>
      <w:r w:rsidR="00752A53">
        <w:rPr>
          <w:szCs w:val="22"/>
        </w:rPr>
        <w:t>sore, rritjen e nd</w:t>
      </w:r>
      <w:r w:rsidR="00F007CB">
        <w:rPr>
          <w:szCs w:val="22"/>
        </w:rPr>
        <w:t>ë</w:t>
      </w:r>
      <w:r w:rsidR="00752A53">
        <w:rPr>
          <w:szCs w:val="22"/>
        </w:rPr>
        <w:t>rgjegj</w:t>
      </w:r>
      <w:r w:rsidR="00F007CB">
        <w:rPr>
          <w:szCs w:val="22"/>
        </w:rPr>
        <w:t>ë</w:t>
      </w:r>
      <w:r w:rsidR="00752A53">
        <w:rPr>
          <w:szCs w:val="22"/>
        </w:rPr>
        <w:t>simit dhe zvog</w:t>
      </w:r>
      <w:r w:rsidR="00F007CB">
        <w:rPr>
          <w:szCs w:val="22"/>
        </w:rPr>
        <w:t>ë</w:t>
      </w:r>
      <w:r w:rsidR="00752A53">
        <w:rPr>
          <w:szCs w:val="22"/>
        </w:rPr>
        <w:t>limin e nivelit t</w:t>
      </w:r>
      <w:r w:rsidR="00F007CB">
        <w:rPr>
          <w:szCs w:val="22"/>
        </w:rPr>
        <w:t>ë</w:t>
      </w:r>
      <w:r w:rsidR="00752A53">
        <w:rPr>
          <w:szCs w:val="22"/>
        </w:rPr>
        <w:t xml:space="preserve"> </w:t>
      </w:r>
      <w:r w:rsidR="00F053B5">
        <w:rPr>
          <w:szCs w:val="22"/>
        </w:rPr>
        <w:t>pa</w:t>
      </w:r>
      <w:r w:rsidR="00752A53">
        <w:rPr>
          <w:szCs w:val="22"/>
        </w:rPr>
        <w:t>pranueshm</w:t>
      </w:r>
      <w:r w:rsidR="00F007CB">
        <w:rPr>
          <w:szCs w:val="22"/>
        </w:rPr>
        <w:t>ë</w:t>
      </w:r>
      <w:r w:rsidR="00752A53">
        <w:rPr>
          <w:szCs w:val="22"/>
        </w:rPr>
        <w:t>ris</w:t>
      </w:r>
      <w:r w:rsidR="00F007CB">
        <w:rPr>
          <w:szCs w:val="22"/>
        </w:rPr>
        <w:t>ë</w:t>
      </w:r>
      <w:r w:rsidR="00752A53">
        <w:rPr>
          <w:szCs w:val="22"/>
        </w:rPr>
        <w:t xml:space="preserve"> s</w:t>
      </w:r>
      <w:r w:rsidR="00F007CB">
        <w:rPr>
          <w:szCs w:val="22"/>
        </w:rPr>
        <w:t>ë</w:t>
      </w:r>
      <w:r w:rsidR="00752A53">
        <w:rPr>
          <w:szCs w:val="22"/>
        </w:rPr>
        <w:t xml:space="preserve"> shoq</w:t>
      </w:r>
      <w:r w:rsidR="00F007CB">
        <w:rPr>
          <w:szCs w:val="22"/>
        </w:rPr>
        <w:t>ë</w:t>
      </w:r>
      <w:r w:rsidR="00752A53">
        <w:rPr>
          <w:szCs w:val="22"/>
        </w:rPr>
        <w:t>ris</w:t>
      </w:r>
      <w:r w:rsidR="00F007CB">
        <w:rPr>
          <w:szCs w:val="22"/>
        </w:rPr>
        <w:t>ë</w:t>
      </w:r>
      <w:r w:rsidRPr="00C415A4">
        <w:rPr>
          <w:szCs w:val="22"/>
        </w:rPr>
        <w:t xml:space="preserve"> </w:t>
      </w:r>
      <w:r w:rsidR="00752A53">
        <w:rPr>
          <w:szCs w:val="22"/>
        </w:rPr>
        <w:t>kundrejt personave LGBTI+ n</w:t>
      </w:r>
      <w:r w:rsidR="00F007CB">
        <w:rPr>
          <w:szCs w:val="22"/>
        </w:rPr>
        <w:t>ë</w:t>
      </w:r>
      <w:r w:rsidR="00752A53">
        <w:rPr>
          <w:szCs w:val="22"/>
        </w:rPr>
        <w:t xml:space="preserve"> Shqip</w:t>
      </w:r>
      <w:r w:rsidR="00F007CB">
        <w:rPr>
          <w:szCs w:val="22"/>
        </w:rPr>
        <w:t>ë</w:t>
      </w:r>
      <w:r w:rsidR="00752A53">
        <w:rPr>
          <w:szCs w:val="22"/>
        </w:rPr>
        <w:t>ri. Si i till</w:t>
      </w:r>
      <w:r w:rsidR="00F007CB">
        <w:rPr>
          <w:szCs w:val="22"/>
        </w:rPr>
        <w:t>ë</w:t>
      </w:r>
      <w:r w:rsidR="00752A53">
        <w:rPr>
          <w:szCs w:val="22"/>
        </w:rPr>
        <w:t xml:space="preserve"> ky PKV </w:t>
      </w:r>
      <w:r>
        <w:rPr>
          <w:szCs w:val="22"/>
        </w:rPr>
        <w:t>reflekton</w:t>
      </w:r>
      <w:r w:rsidRPr="00C415A4">
        <w:rPr>
          <w:szCs w:val="22"/>
        </w:rPr>
        <w:t xml:space="preserve"> përparësinë dhe vëmendjen e veçantë që Qeveria e Shqipërisë i kushton </w:t>
      </w:r>
      <w:r w:rsidR="00752A53">
        <w:rPr>
          <w:szCs w:val="22"/>
        </w:rPr>
        <w:t>krijimit t</w:t>
      </w:r>
      <w:r w:rsidR="00F007CB">
        <w:rPr>
          <w:szCs w:val="22"/>
        </w:rPr>
        <w:t>ë</w:t>
      </w:r>
      <w:r w:rsidR="00752A53">
        <w:rPr>
          <w:szCs w:val="22"/>
        </w:rPr>
        <w:t xml:space="preserve"> </w:t>
      </w:r>
      <w:r w:rsidR="00752A53">
        <w:t xml:space="preserve">një shoqërie në themel të së cilës qëndron e drejta, merita dhe vlerat qytetare, sociale e profesionale e çdo individi, </w:t>
      </w:r>
      <w:r w:rsidR="00736CFE">
        <w:t xml:space="preserve">si dhe </w:t>
      </w:r>
      <w:r w:rsidR="00EE1D44">
        <w:t>qeverisja</w:t>
      </w:r>
      <w:r w:rsidR="00736CFE">
        <w:t xml:space="preserve"> në mënyrë të përgjegjshme, efikase, transparente, në interes të zhvillimit të vendit, duke luftuar korrupsionin, pabarazinë përpara ligjit, pandëshkueshmërinë apo diskriminimet e çdo lloji qofshin.</w:t>
      </w:r>
      <w:r w:rsidR="00752A53">
        <w:t xml:space="preserve"> </w:t>
      </w:r>
    </w:p>
    <w:p w:rsidR="0048651A" w:rsidRDefault="0048651A" w:rsidP="004F7CE4">
      <w:pPr>
        <w:spacing w:line="276" w:lineRule="auto"/>
        <w:jc w:val="both"/>
      </w:pPr>
    </w:p>
    <w:p w:rsidR="004F7CE4" w:rsidRDefault="00736CFE" w:rsidP="004F7CE4">
      <w:pPr>
        <w:spacing w:line="276" w:lineRule="auto"/>
        <w:jc w:val="both"/>
        <w:rPr>
          <w:szCs w:val="22"/>
        </w:rPr>
      </w:pPr>
      <w:r>
        <w:rPr>
          <w:szCs w:val="22"/>
        </w:rPr>
        <w:t xml:space="preserve">“PKV LGBTI+ 2021 – 2027” lidhet </w:t>
      </w:r>
      <w:r w:rsidR="004F7CE4" w:rsidRPr="00C415A4">
        <w:rPr>
          <w:szCs w:val="22"/>
        </w:rPr>
        <w:t>drejtpërdrejt me Strategjinë Kombëtare për Zhvillim dhe Integrim II 2015-2020</w:t>
      </w:r>
      <w:r>
        <w:rPr>
          <w:rStyle w:val="FootnoteReference"/>
          <w:szCs w:val="22"/>
        </w:rPr>
        <w:footnoteReference w:id="2"/>
      </w:r>
      <w:r w:rsidR="004F7CE4" w:rsidRPr="00C415A4">
        <w:rPr>
          <w:szCs w:val="22"/>
        </w:rPr>
        <w:t xml:space="preserve">, </w:t>
      </w:r>
      <w:r>
        <w:rPr>
          <w:szCs w:val="22"/>
        </w:rPr>
        <w:t xml:space="preserve">me </w:t>
      </w:r>
      <w:r w:rsidR="004F7CE4" w:rsidRPr="00C415A4">
        <w:rPr>
          <w:szCs w:val="22"/>
        </w:rPr>
        <w:t>Programin Qeverisës 2017-2021</w:t>
      </w:r>
      <w:r w:rsidR="004F7CE4" w:rsidRPr="00C415A4">
        <w:rPr>
          <w:rStyle w:val="FootnoteReference"/>
          <w:szCs w:val="22"/>
        </w:rPr>
        <w:footnoteReference w:id="3"/>
      </w:r>
      <w:r>
        <w:rPr>
          <w:szCs w:val="22"/>
        </w:rPr>
        <w:t xml:space="preserve">, me </w:t>
      </w:r>
      <w:r w:rsidR="004F7CE4" w:rsidRPr="00C415A4">
        <w:rPr>
          <w:szCs w:val="22"/>
        </w:rPr>
        <w:t>plotësimin e Objektivave të Zhvillimit të Qendrueshëm</w:t>
      </w:r>
      <w:r w:rsidR="004F7CE4" w:rsidRPr="00C415A4">
        <w:rPr>
          <w:rStyle w:val="FootnoteReference"/>
          <w:szCs w:val="22"/>
        </w:rPr>
        <w:footnoteReference w:id="4"/>
      </w:r>
      <w:r>
        <w:rPr>
          <w:szCs w:val="22"/>
        </w:rPr>
        <w:t xml:space="preserve"> (OZHQ) dhe me Axhendën</w:t>
      </w:r>
      <w:r w:rsidR="004F7CE4" w:rsidRPr="00C415A4">
        <w:rPr>
          <w:szCs w:val="22"/>
        </w:rPr>
        <w:t xml:space="preserve"> 2030</w:t>
      </w:r>
      <w:r w:rsidR="004F7CE4" w:rsidRPr="00C415A4">
        <w:rPr>
          <w:rStyle w:val="FootnoteReference"/>
          <w:szCs w:val="22"/>
        </w:rPr>
        <w:footnoteReference w:id="5"/>
      </w:r>
      <w:r w:rsidR="004F7CE4" w:rsidRPr="00C415A4">
        <w:rPr>
          <w:szCs w:val="22"/>
        </w:rPr>
        <w:t xml:space="preserve">. </w:t>
      </w:r>
      <w:r>
        <w:rPr>
          <w:szCs w:val="22"/>
        </w:rPr>
        <w:t>N</w:t>
      </w:r>
      <w:r w:rsidR="00F007CB">
        <w:rPr>
          <w:szCs w:val="22"/>
        </w:rPr>
        <w:t>ë</w:t>
      </w:r>
      <w:r>
        <w:rPr>
          <w:szCs w:val="22"/>
        </w:rPr>
        <w:t xml:space="preserve"> masa apo veprime t</w:t>
      </w:r>
      <w:r w:rsidR="00F007CB">
        <w:rPr>
          <w:szCs w:val="22"/>
        </w:rPr>
        <w:t>ë</w:t>
      </w:r>
      <w:r>
        <w:rPr>
          <w:szCs w:val="22"/>
        </w:rPr>
        <w:t xml:space="preserve"> caktuara t</w:t>
      </w:r>
      <w:r w:rsidR="00F007CB">
        <w:rPr>
          <w:szCs w:val="22"/>
        </w:rPr>
        <w:t>ë</w:t>
      </w:r>
      <w:r>
        <w:rPr>
          <w:szCs w:val="22"/>
        </w:rPr>
        <w:t xml:space="preserve"> “PKV LGBTI+ 2021 – 2027” </w:t>
      </w:r>
      <w:r w:rsidR="00F007CB">
        <w:rPr>
          <w:szCs w:val="22"/>
        </w:rPr>
        <w:t>ë</w:t>
      </w:r>
      <w:r>
        <w:rPr>
          <w:szCs w:val="22"/>
        </w:rPr>
        <w:t>sht</w:t>
      </w:r>
      <w:r w:rsidR="00F007CB">
        <w:rPr>
          <w:szCs w:val="22"/>
        </w:rPr>
        <w:t>ë</w:t>
      </w:r>
      <w:r>
        <w:rPr>
          <w:szCs w:val="22"/>
        </w:rPr>
        <w:t xml:space="preserve"> mbajtur n</w:t>
      </w:r>
      <w:r w:rsidR="00F007CB">
        <w:rPr>
          <w:szCs w:val="22"/>
        </w:rPr>
        <w:t>ë</w:t>
      </w:r>
      <w:r>
        <w:rPr>
          <w:szCs w:val="22"/>
        </w:rPr>
        <w:t xml:space="preserve"> konsiderat</w:t>
      </w:r>
      <w:r w:rsidR="00F007CB">
        <w:rPr>
          <w:szCs w:val="22"/>
        </w:rPr>
        <w:t>ë</w:t>
      </w:r>
      <w:r>
        <w:rPr>
          <w:szCs w:val="22"/>
        </w:rPr>
        <w:t xml:space="preserve"> dhe </w:t>
      </w:r>
      <w:r w:rsidR="00F007CB">
        <w:rPr>
          <w:szCs w:val="22"/>
        </w:rPr>
        <w:t>ë</w:t>
      </w:r>
      <w:r>
        <w:rPr>
          <w:szCs w:val="22"/>
        </w:rPr>
        <w:t>sht</w:t>
      </w:r>
      <w:r w:rsidR="00F007CB">
        <w:rPr>
          <w:szCs w:val="22"/>
        </w:rPr>
        <w:t>ë</w:t>
      </w:r>
      <w:r>
        <w:rPr>
          <w:szCs w:val="22"/>
        </w:rPr>
        <w:t xml:space="preserve"> b</w:t>
      </w:r>
      <w:r w:rsidR="00F007CB">
        <w:rPr>
          <w:szCs w:val="22"/>
        </w:rPr>
        <w:t>ë</w:t>
      </w:r>
      <w:r>
        <w:rPr>
          <w:szCs w:val="22"/>
        </w:rPr>
        <w:t>r</w:t>
      </w:r>
      <w:r w:rsidR="00F007CB">
        <w:rPr>
          <w:szCs w:val="22"/>
        </w:rPr>
        <w:t>ë</w:t>
      </w:r>
      <w:r>
        <w:rPr>
          <w:szCs w:val="22"/>
        </w:rPr>
        <w:t xml:space="preserve"> referenc</w:t>
      </w:r>
      <w:r w:rsidR="00F007CB">
        <w:rPr>
          <w:szCs w:val="22"/>
        </w:rPr>
        <w:t>ë</w:t>
      </w:r>
      <w:r>
        <w:rPr>
          <w:szCs w:val="22"/>
        </w:rPr>
        <w:t xml:space="preserve"> edhe n</w:t>
      </w:r>
      <w:r w:rsidR="00F007CB">
        <w:rPr>
          <w:szCs w:val="22"/>
        </w:rPr>
        <w:t>ë</w:t>
      </w:r>
      <w:r>
        <w:rPr>
          <w:szCs w:val="22"/>
        </w:rPr>
        <w:t xml:space="preserve"> “Strategjin</w:t>
      </w:r>
      <w:r w:rsidR="00F007CB">
        <w:rPr>
          <w:szCs w:val="22"/>
        </w:rPr>
        <w:t>ë</w:t>
      </w:r>
      <w:r>
        <w:rPr>
          <w:szCs w:val="22"/>
        </w:rPr>
        <w:t xml:space="preserve"> Komb</w:t>
      </w:r>
      <w:r w:rsidR="00F007CB">
        <w:rPr>
          <w:szCs w:val="22"/>
        </w:rPr>
        <w:t>ë</w:t>
      </w:r>
      <w:r>
        <w:rPr>
          <w:szCs w:val="22"/>
        </w:rPr>
        <w:t>tare p</w:t>
      </w:r>
      <w:r w:rsidR="00F007CB">
        <w:rPr>
          <w:szCs w:val="22"/>
        </w:rPr>
        <w:t>ë</w:t>
      </w:r>
      <w:r>
        <w:rPr>
          <w:szCs w:val="22"/>
        </w:rPr>
        <w:t>r Barazin</w:t>
      </w:r>
      <w:r w:rsidR="00F007CB">
        <w:rPr>
          <w:szCs w:val="22"/>
        </w:rPr>
        <w:t>ë</w:t>
      </w:r>
      <w:r>
        <w:rPr>
          <w:szCs w:val="22"/>
        </w:rPr>
        <w:t xml:space="preserve"> Gjinore 20231 – 2030”</w:t>
      </w:r>
      <w:r w:rsidR="006D0450">
        <w:rPr>
          <w:rStyle w:val="FootnoteReference"/>
          <w:szCs w:val="22"/>
        </w:rPr>
        <w:footnoteReference w:id="6"/>
      </w:r>
      <w:r w:rsidR="006D0450">
        <w:rPr>
          <w:szCs w:val="22"/>
        </w:rPr>
        <w:t xml:space="preserve">, </w:t>
      </w:r>
      <w:r w:rsidR="00FB6BB5">
        <w:rPr>
          <w:szCs w:val="22"/>
        </w:rPr>
        <w:t xml:space="preserve"> si dhe n</w:t>
      </w:r>
      <w:r w:rsidR="00F007CB">
        <w:rPr>
          <w:szCs w:val="22"/>
        </w:rPr>
        <w:t>ë</w:t>
      </w:r>
      <w:r w:rsidR="00FB6BB5">
        <w:rPr>
          <w:szCs w:val="22"/>
        </w:rPr>
        <w:t xml:space="preserve"> </w:t>
      </w:r>
      <w:r w:rsidR="004F7CE4" w:rsidRPr="00C415A4">
        <w:rPr>
          <w:szCs w:val="22"/>
        </w:rPr>
        <w:t xml:space="preserve">Strategjinë </w:t>
      </w:r>
      <w:r w:rsidR="00F007CB">
        <w:rPr>
          <w:szCs w:val="22"/>
        </w:rPr>
        <w:t>e</w:t>
      </w:r>
      <w:r w:rsidR="00F007CB" w:rsidRPr="00C415A4">
        <w:rPr>
          <w:szCs w:val="22"/>
        </w:rPr>
        <w:t xml:space="preserve"> </w:t>
      </w:r>
      <w:r w:rsidR="00F007CB">
        <w:rPr>
          <w:szCs w:val="22"/>
        </w:rPr>
        <w:t>Komisionit</w:t>
      </w:r>
      <w:r w:rsidR="00F007CB" w:rsidRPr="00C415A4">
        <w:rPr>
          <w:szCs w:val="22"/>
        </w:rPr>
        <w:t xml:space="preserve"> Evropian</w:t>
      </w:r>
      <w:r w:rsidR="00F007CB">
        <w:rPr>
          <w:szCs w:val="22"/>
        </w:rPr>
        <w:t xml:space="preserve"> “Bashkimi i Barazisë: Strategjia e </w:t>
      </w:r>
      <w:r w:rsidR="004F7CE4" w:rsidRPr="00C415A4">
        <w:rPr>
          <w:szCs w:val="22"/>
        </w:rPr>
        <w:t xml:space="preserve">Barazisë </w:t>
      </w:r>
      <w:r w:rsidR="00FB6BB5">
        <w:rPr>
          <w:szCs w:val="22"/>
        </w:rPr>
        <w:t>p</w:t>
      </w:r>
      <w:r w:rsidR="00F007CB">
        <w:rPr>
          <w:szCs w:val="22"/>
        </w:rPr>
        <w:t>ë</w:t>
      </w:r>
      <w:r w:rsidR="00FB6BB5">
        <w:rPr>
          <w:szCs w:val="22"/>
        </w:rPr>
        <w:t>r LGBTIQ</w:t>
      </w:r>
      <w:r w:rsidR="004F7CE4" w:rsidRPr="00C415A4">
        <w:rPr>
          <w:szCs w:val="22"/>
        </w:rPr>
        <w:t xml:space="preserve"> </w:t>
      </w:r>
      <w:r w:rsidR="004F7CE4" w:rsidRPr="00C415A4">
        <w:rPr>
          <w:szCs w:val="22"/>
        </w:rPr>
        <w:lastRenderedPageBreak/>
        <w:t>2020-2025</w:t>
      </w:r>
      <w:r w:rsidR="00F007CB">
        <w:rPr>
          <w:szCs w:val="22"/>
        </w:rPr>
        <w:t>”</w:t>
      </w:r>
      <w:r w:rsidR="004F7CE4" w:rsidRPr="00C415A4">
        <w:rPr>
          <w:szCs w:val="22"/>
        </w:rPr>
        <w:t xml:space="preserve">, </w:t>
      </w:r>
      <w:r w:rsidR="00F007CB">
        <w:rPr>
          <w:szCs w:val="22"/>
        </w:rPr>
        <w:t xml:space="preserve">e </w:t>
      </w:r>
      <w:r w:rsidR="00FB6BB5">
        <w:rPr>
          <w:szCs w:val="22"/>
        </w:rPr>
        <w:t>para strategji e Komisionit p</w:t>
      </w:r>
      <w:r w:rsidR="00F007CB">
        <w:rPr>
          <w:szCs w:val="22"/>
        </w:rPr>
        <w:t>ë</w:t>
      </w:r>
      <w:r w:rsidR="00FB6BB5">
        <w:rPr>
          <w:szCs w:val="22"/>
        </w:rPr>
        <w:t>r barazin</w:t>
      </w:r>
      <w:r w:rsidR="00F007CB">
        <w:rPr>
          <w:szCs w:val="22"/>
        </w:rPr>
        <w:t>ë</w:t>
      </w:r>
      <w:r w:rsidR="00FB6BB5">
        <w:rPr>
          <w:szCs w:val="22"/>
        </w:rPr>
        <w:t xml:space="preserve"> e LGBTIQ, publikuar m</w:t>
      </w:r>
      <w:r w:rsidR="00F007CB">
        <w:rPr>
          <w:szCs w:val="22"/>
        </w:rPr>
        <w:t>ë</w:t>
      </w:r>
      <w:r w:rsidR="00FB6BB5">
        <w:rPr>
          <w:szCs w:val="22"/>
        </w:rPr>
        <w:t xml:space="preserve"> 11 n</w:t>
      </w:r>
      <w:r w:rsidR="00F007CB">
        <w:rPr>
          <w:szCs w:val="22"/>
        </w:rPr>
        <w:t>ë</w:t>
      </w:r>
      <w:r w:rsidR="00FB6BB5">
        <w:rPr>
          <w:szCs w:val="22"/>
        </w:rPr>
        <w:t>ntor 2020</w:t>
      </w:r>
      <w:r w:rsidR="00FB6BB5">
        <w:rPr>
          <w:rStyle w:val="FootnoteReference"/>
          <w:szCs w:val="22"/>
        </w:rPr>
        <w:footnoteReference w:id="7"/>
      </w:r>
      <w:r w:rsidR="004F7CE4" w:rsidRPr="00C415A4">
        <w:rPr>
          <w:szCs w:val="22"/>
        </w:rPr>
        <w:t xml:space="preserve">. </w:t>
      </w:r>
    </w:p>
    <w:p w:rsidR="004F7CE4" w:rsidRDefault="004F7CE4" w:rsidP="00044AC3">
      <w:pPr>
        <w:pStyle w:val="NoSpacing"/>
        <w:spacing w:line="276" w:lineRule="auto"/>
        <w:jc w:val="both"/>
        <w:rPr>
          <w:rFonts w:ascii="Times New Roman" w:hAnsi="Times New Roman" w:cs="Times New Roman"/>
        </w:rPr>
      </w:pPr>
    </w:p>
    <w:p w:rsidR="00D252B3" w:rsidRDefault="00D252B3" w:rsidP="00D252B3">
      <w:pPr>
        <w:pStyle w:val="NoSpacing"/>
        <w:spacing w:line="276" w:lineRule="auto"/>
        <w:jc w:val="both"/>
        <w:rPr>
          <w:rFonts w:ascii="Times New Roman" w:hAnsi="Times New Roman" w:cs="Times New Roman"/>
        </w:rPr>
      </w:pPr>
      <w:r>
        <w:rPr>
          <w:rFonts w:ascii="Times New Roman" w:hAnsi="Times New Roman" w:cs="Times New Roman"/>
        </w:rPr>
        <w:t xml:space="preserve">Gjithashtu </w:t>
      </w:r>
      <w:r w:rsidR="00397C56" w:rsidRPr="00397C56">
        <w:rPr>
          <w:rFonts w:ascii="Times New Roman" w:hAnsi="Times New Roman" w:cs="Times New Roman"/>
        </w:rPr>
        <w:t>“</w:t>
      </w:r>
      <w:r>
        <w:rPr>
          <w:rFonts w:ascii="Times New Roman" w:hAnsi="Times New Roman" w:cs="Times New Roman"/>
        </w:rPr>
        <w:t>PKV LGBTI+ 2021 - 2027</w:t>
      </w:r>
      <w:r w:rsidR="00397C56" w:rsidRPr="00397C56">
        <w:rPr>
          <w:rFonts w:ascii="Times New Roman" w:hAnsi="Times New Roman" w:cs="Times New Roman"/>
        </w:rPr>
        <w:t xml:space="preserve">” u hartua duke u bazuar </w:t>
      </w:r>
      <w:r>
        <w:rPr>
          <w:rFonts w:ascii="Times New Roman" w:hAnsi="Times New Roman" w:cs="Times New Roman"/>
        </w:rPr>
        <w:t xml:space="preserve">edhe </w:t>
      </w:r>
      <w:r w:rsidR="00397C56" w:rsidRPr="00397C56">
        <w:rPr>
          <w:rFonts w:ascii="Times New Roman" w:hAnsi="Times New Roman" w:cs="Times New Roman"/>
        </w:rPr>
        <w:t>në gjetjet dhe rekomandimet nga “Raport</w:t>
      </w:r>
      <w:r>
        <w:rPr>
          <w:rFonts w:ascii="Times New Roman" w:hAnsi="Times New Roman" w:cs="Times New Roman"/>
        </w:rPr>
        <w:t>i i</w:t>
      </w:r>
      <w:r w:rsidR="00397C56" w:rsidRPr="00397C56">
        <w:rPr>
          <w:rFonts w:ascii="Times New Roman" w:hAnsi="Times New Roman" w:cs="Times New Roman"/>
        </w:rPr>
        <w:t xml:space="preserve"> vlerësimi</w:t>
      </w:r>
      <w:r>
        <w:rPr>
          <w:rFonts w:ascii="Times New Roman" w:hAnsi="Times New Roman" w:cs="Times New Roman"/>
        </w:rPr>
        <w:t>t t</w:t>
      </w:r>
      <w:r w:rsidR="000B1C1B">
        <w:rPr>
          <w:rFonts w:ascii="Times New Roman" w:hAnsi="Times New Roman" w:cs="Times New Roman"/>
        </w:rPr>
        <w:t>ë</w:t>
      </w:r>
      <w:r>
        <w:rPr>
          <w:rFonts w:ascii="Times New Roman" w:hAnsi="Times New Roman" w:cs="Times New Roman"/>
        </w:rPr>
        <w:t xml:space="preserve"> Z</w:t>
      </w:r>
      <w:r w:rsidR="00397C56" w:rsidRPr="00397C56">
        <w:rPr>
          <w:rFonts w:ascii="Times New Roman" w:hAnsi="Times New Roman" w:cs="Times New Roman"/>
        </w:rPr>
        <w:t>batimi</w:t>
      </w:r>
      <w:r>
        <w:rPr>
          <w:rFonts w:ascii="Times New Roman" w:hAnsi="Times New Roman" w:cs="Times New Roman"/>
        </w:rPr>
        <w:t>t t</w:t>
      </w:r>
      <w:r w:rsidR="000B1C1B">
        <w:rPr>
          <w:rFonts w:ascii="Times New Roman" w:hAnsi="Times New Roman" w:cs="Times New Roman"/>
        </w:rPr>
        <w:t>ë</w:t>
      </w:r>
      <w:r>
        <w:rPr>
          <w:rFonts w:ascii="Times New Roman" w:hAnsi="Times New Roman" w:cs="Times New Roman"/>
        </w:rPr>
        <w:t xml:space="preserve"> PKV p</w:t>
      </w:r>
      <w:r w:rsidR="000B1C1B">
        <w:rPr>
          <w:rFonts w:ascii="Times New Roman" w:hAnsi="Times New Roman" w:cs="Times New Roman"/>
        </w:rPr>
        <w:t>ë</w:t>
      </w:r>
      <w:r>
        <w:rPr>
          <w:rFonts w:ascii="Times New Roman" w:hAnsi="Times New Roman" w:cs="Times New Roman"/>
        </w:rPr>
        <w:t>r personat LGBTI n</w:t>
      </w:r>
      <w:r w:rsidR="000B1C1B">
        <w:rPr>
          <w:rFonts w:ascii="Times New Roman" w:hAnsi="Times New Roman" w:cs="Times New Roman"/>
        </w:rPr>
        <w:t>ë</w:t>
      </w:r>
      <w:r>
        <w:rPr>
          <w:rFonts w:ascii="Times New Roman" w:hAnsi="Times New Roman" w:cs="Times New Roman"/>
        </w:rPr>
        <w:t xml:space="preserve"> RSH 2016 – 2020”, </w:t>
      </w:r>
      <w:r w:rsidR="00397C56" w:rsidRPr="00397C56">
        <w:rPr>
          <w:rFonts w:ascii="Times New Roman" w:hAnsi="Times New Roman" w:cs="Times New Roman"/>
        </w:rPr>
        <w:t xml:space="preserve"> për rrjedhojë synon zgjerimin, thellimin dhe shtimin e masave të parashikuara dhe të pazbatuara plotësisht, apo edhe të zbatuara por që kërkojnë mbështetje për qendrueshmëri afatgjatë, sipas qëllimeve strategjike të përcaktuara më herët në </w:t>
      </w:r>
      <w:r>
        <w:rPr>
          <w:rFonts w:ascii="Times New Roman" w:hAnsi="Times New Roman" w:cs="Times New Roman"/>
        </w:rPr>
        <w:t xml:space="preserve">PKV </w:t>
      </w:r>
      <w:r w:rsidR="00397C56" w:rsidRPr="00397C56">
        <w:rPr>
          <w:rFonts w:ascii="Times New Roman" w:hAnsi="Times New Roman" w:cs="Times New Roman"/>
        </w:rPr>
        <w:t xml:space="preserve">2016-2020. </w:t>
      </w:r>
      <w:r>
        <w:rPr>
          <w:rFonts w:ascii="Times New Roman" w:hAnsi="Times New Roman" w:cs="Times New Roman"/>
        </w:rPr>
        <w:t>Nd</w:t>
      </w:r>
      <w:r w:rsidR="000B1C1B">
        <w:rPr>
          <w:rFonts w:ascii="Times New Roman" w:hAnsi="Times New Roman" w:cs="Times New Roman"/>
        </w:rPr>
        <w:t>ë</w:t>
      </w:r>
      <w:r>
        <w:rPr>
          <w:rFonts w:ascii="Times New Roman" w:hAnsi="Times New Roman" w:cs="Times New Roman"/>
        </w:rPr>
        <w:t>r t</w:t>
      </w:r>
      <w:r w:rsidR="000B1C1B">
        <w:rPr>
          <w:rFonts w:ascii="Times New Roman" w:hAnsi="Times New Roman" w:cs="Times New Roman"/>
        </w:rPr>
        <w:t>ë</w:t>
      </w:r>
      <w:r>
        <w:rPr>
          <w:rFonts w:ascii="Times New Roman" w:hAnsi="Times New Roman" w:cs="Times New Roman"/>
        </w:rPr>
        <w:t xml:space="preserve"> tjera</w:t>
      </w:r>
      <w:r w:rsidR="00EE1D44">
        <w:rPr>
          <w:rFonts w:ascii="Times New Roman" w:hAnsi="Times New Roman" w:cs="Times New Roman"/>
        </w:rPr>
        <w:t>,</w:t>
      </w:r>
      <w:r>
        <w:rPr>
          <w:rFonts w:ascii="Times New Roman" w:hAnsi="Times New Roman" w:cs="Times New Roman"/>
        </w:rPr>
        <w:t xml:space="preserve"> n</w:t>
      </w:r>
      <w:r w:rsidR="000B1C1B">
        <w:rPr>
          <w:rFonts w:ascii="Times New Roman" w:hAnsi="Times New Roman" w:cs="Times New Roman"/>
        </w:rPr>
        <w:t>ë</w:t>
      </w:r>
      <w:r>
        <w:rPr>
          <w:rFonts w:ascii="Times New Roman" w:hAnsi="Times New Roman" w:cs="Times New Roman"/>
        </w:rPr>
        <w:t xml:space="preserve"> raportin e vler</w:t>
      </w:r>
      <w:r w:rsidR="000B1C1B">
        <w:rPr>
          <w:rFonts w:ascii="Times New Roman" w:hAnsi="Times New Roman" w:cs="Times New Roman"/>
        </w:rPr>
        <w:t>ë</w:t>
      </w:r>
      <w:r>
        <w:rPr>
          <w:rFonts w:ascii="Times New Roman" w:hAnsi="Times New Roman" w:cs="Times New Roman"/>
        </w:rPr>
        <w:t>simit t</w:t>
      </w:r>
      <w:r w:rsidR="000B1C1B">
        <w:rPr>
          <w:rFonts w:ascii="Times New Roman" w:hAnsi="Times New Roman" w:cs="Times New Roman"/>
        </w:rPr>
        <w:t>ë</w:t>
      </w:r>
      <w:r>
        <w:rPr>
          <w:rFonts w:ascii="Times New Roman" w:hAnsi="Times New Roman" w:cs="Times New Roman"/>
        </w:rPr>
        <w:t xml:space="preserve"> zbatimit t</w:t>
      </w:r>
      <w:r w:rsidR="000B1C1B">
        <w:rPr>
          <w:rFonts w:ascii="Times New Roman" w:hAnsi="Times New Roman" w:cs="Times New Roman"/>
        </w:rPr>
        <w:t>ë</w:t>
      </w:r>
      <w:r>
        <w:rPr>
          <w:rFonts w:ascii="Times New Roman" w:hAnsi="Times New Roman" w:cs="Times New Roman"/>
        </w:rPr>
        <w:t xml:space="preserve"> PKV 2016-2020 </w:t>
      </w:r>
      <w:r w:rsidRPr="00374C39">
        <w:rPr>
          <w:rFonts w:ascii="Times New Roman" w:hAnsi="Times New Roman" w:cs="Times New Roman"/>
        </w:rPr>
        <w:t>rekomando</w:t>
      </w:r>
      <w:r>
        <w:rPr>
          <w:rFonts w:ascii="Times New Roman" w:hAnsi="Times New Roman" w:cs="Times New Roman"/>
        </w:rPr>
        <w:t>het</w:t>
      </w:r>
      <w:r w:rsidRPr="00374C39">
        <w:rPr>
          <w:rFonts w:ascii="Times New Roman" w:hAnsi="Times New Roman" w:cs="Times New Roman"/>
        </w:rPr>
        <w:t xml:space="preserve"> </w:t>
      </w:r>
      <w:r>
        <w:rPr>
          <w:rFonts w:ascii="Times New Roman" w:hAnsi="Times New Roman" w:cs="Times New Roman"/>
        </w:rPr>
        <w:t>fokusimi</w:t>
      </w:r>
      <w:r w:rsidRPr="00374C39">
        <w:rPr>
          <w:rFonts w:ascii="Times New Roman" w:hAnsi="Times New Roman" w:cs="Times New Roman"/>
        </w:rPr>
        <w:t xml:space="preserve"> në mënyrë të veçantë </w:t>
      </w:r>
      <w:r>
        <w:rPr>
          <w:rFonts w:ascii="Times New Roman" w:hAnsi="Times New Roman" w:cs="Times New Roman"/>
        </w:rPr>
        <w:t>dhe n</w:t>
      </w:r>
      <w:r w:rsidR="000B1C1B">
        <w:rPr>
          <w:rFonts w:ascii="Times New Roman" w:hAnsi="Times New Roman" w:cs="Times New Roman"/>
        </w:rPr>
        <w:t>ë</w:t>
      </w:r>
      <w:r>
        <w:rPr>
          <w:rFonts w:ascii="Times New Roman" w:hAnsi="Times New Roman" w:cs="Times New Roman"/>
        </w:rPr>
        <w:t xml:space="preserve"> mbar</w:t>
      </w:r>
      <w:r w:rsidR="000B1C1B">
        <w:rPr>
          <w:rFonts w:ascii="Times New Roman" w:hAnsi="Times New Roman" w:cs="Times New Roman"/>
        </w:rPr>
        <w:t>ë</w:t>
      </w:r>
      <w:r>
        <w:rPr>
          <w:rFonts w:ascii="Times New Roman" w:hAnsi="Times New Roman" w:cs="Times New Roman"/>
        </w:rPr>
        <w:t xml:space="preserve"> vendin </w:t>
      </w:r>
      <w:r w:rsidRPr="00374C39">
        <w:rPr>
          <w:rFonts w:ascii="Times New Roman" w:hAnsi="Times New Roman" w:cs="Times New Roman"/>
        </w:rPr>
        <w:t xml:space="preserve">tek </w:t>
      </w:r>
      <w:r>
        <w:rPr>
          <w:rFonts w:ascii="Times New Roman" w:hAnsi="Times New Roman" w:cs="Times New Roman"/>
        </w:rPr>
        <w:t>personat LGBTI+ m</w:t>
      </w:r>
      <w:r w:rsidR="000B1C1B">
        <w:rPr>
          <w:rFonts w:ascii="Times New Roman" w:hAnsi="Times New Roman" w:cs="Times New Roman"/>
        </w:rPr>
        <w:t>ë</w:t>
      </w:r>
      <w:r>
        <w:rPr>
          <w:rFonts w:ascii="Times New Roman" w:hAnsi="Times New Roman" w:cs="Times New Roman"/>
        </w:rPr>
        <w:t xml:space="preserve"> n</w:t>
      </w:r>
      <w:r w:rsidR="000B1C1B">
        <w:rPr>
          <w:rFonts w:ascii="Times New Roman" w:hAnsi="Times New Roman" w:cs="Times New Roman"/>
        </w:rPr>
        <w:t>ë</w:t>
      </w:r>
      <w:r>
        <w:rPr>
          <w:rFonts w:ascii="Times New Roman" w:hAnsi="Times New Roman" w:cs="Times New Roman"/>
        </w:rPr>
        <w:t xml:space="preserve"> nevoj</w:t>
      </w:r>
      <w:r w:rsidR="000B1C1B">
        <w:rPr>
          <w:rFonts w:ascii="Times New Roman" w:hAnsi="Times New Roman" w:cs="Times New Roman"/>
        </w:rPr>
        <w:t>ë</w:t>
      </w:r>
      <w:r>
        <w:rPr>
          <w:rFonts w:ascii="Times New Roman" w:hAnsi="Times New Roman" w:cs="Times New Roman"/>
        </w:rPr>
        <w:t xml:space="preserve"> dhe t</w:t>
      </w:r>
      <w:r w:rsidR="000B1C1B">
        <w:rPr>
          <w:rFonts w:ascii="Times New Roman" w:hAnsi="Times New Roman" w:cs="Times New Roman"/>
        </w:rPr>
        <w:t>ë</w:t>
      </w:r>
      <w:r>
        <w:rPr>
          <w:rFonts w:ascii="Times New Roman" w:hAnsi="Times New Roman" w:cs="Times New Roman"/>
        </w:rPr>
        <w:t xml:space="preserve"> cil</w:t>
      </w:r>
      <w:r w:rsidR="000B1C1B">
        <w:rPr>
          <w:rFonts w:ascii="Times New Roman" w:hAnsi="Times New Roman" w:cs="Times New Roman"/>
        </w:rPr>
        <w:t>ë</w:t>
      </w:r>
      <w:r>
        <w:rPr>
          <w:rFonts w:ascii="Times New Roman" w:hAnsi="Times New Roman" w:cs="Times New Roman"/>
        </w:rPr>
        <w:t>t p</w:t>
      </w:r>
      <w:r w:rsidR="000B1C1B">
        <w:rPr>
          <w:rFonts w:ascii="Times New Roman" w:hAnsi="Times New Roman" w:cs="Times New Roman"/>
        </w:rPr>
        <w:t>ë</w:t>
      </w:r>
      <w:r>
        <w:rPr>
          <w:rFonts w:ascii="Times New Roman" w:hAnsi="Times New Roman" w:cs="Times New Roman"/>
        </w:rPr>
        <w:t>rjetojn</w:t>
      </w:r>
      <w:r w:rsidR="000B1C1B">
        <w:rPr>
          <w:rFonts w:ascii="Times New Roman" w:hAnsi="Times New Roman" w:cs="Times New Roman"/>
        </w:rPr>
        <w:t>ë</w:t>
      </w:r>
      <w:r>
        <w:rPr>
          <w:rFonts w:ascii="Times New Roman" w:hAnsi="Times New Roman" w:cs="Times New Roman"/>
        </w:rPr>
        <w:t xml:space="preserve"> diskriminim t</w:t>
      </w:r>
      <w:r w:rsidR="000B1C1B">
        <w:rPr>
          <w:rFonts w:ascii="Times New Roman" w:hAnsi="Times New Roman" w:cs="Times New Roman"/>
        </w:rPr>
        <w:t>ë</w:t>
      </w:r>
      <w:r>
        <w:rPr>
          <w:rFonts w:ascii="Times New Roman" w:hAnsi="Times New Roman" w:cs="Times New Roman"/>
        </w:rPr>
        <w:t xml:space="preserve"> shum</w:t>
      </w:r>
      <w:r w:rsidR="000B1C1B">
        <w:rPr>
          <w:rFonts w:ascii="Times New Roman" w:hAnsi="Times New Roman" w:cs="Times New Roman"/>
        </w:rPr>
        <w:t>ë</w:t>
      </w:r>
      <w:r>
        <w:rPr>
          <w:rFonts w:ascii="Times New Roman" w:hAnsi="Times New Roman" w:cs="Times New Roman"/>
        </w:rPr>
        <w:t>fisht</w:t>
      </w:r>
      <w:r w:rsidR="000B1C1B">
        <w:rPr>
          <w:rFonts w:ascii="Times New Roman" w:hAnsi="Times New Roman" w:cs="Times New Roman"/>
        </w:rPr>
        <w:t>ë</w:t>
      </w:r>
      <w:r w:rsidRPr="00374C39">
        <w:rPr>
          <w:rFonts w:ascii="Times New Roman" w:hAnsi="Times New Roman" w:cs="Times New Roman"/>
        </w:rPr>
        <w:t xml:space="preserve">, si </w:t>
      </w:r>
      <w:r>
        <w:rPr>
          <w:rFonts w:ascii="Times New Roman" w:hAnsi="Times New Roman" w:cs="Times New Roman"/>
        </w:rPr>
        <w:t xml:space="preserve">p.sh. </w:t>
      </w:r>
      <w:r w:rsidRPr="00374C39">
        <w:rPr>
          <w:rFonts w:ascii="Times New Roman" w:hAnsi="Times New Roman" w:cs="Times New Roman"/>
        </w:rPr>
        <w:t xml:space="preserve">personat transgjinorë dhe interseks. </w:t>
      </w:r>
    </w:p>
    <w:p w:rsidR="006A7150" w:rsidRDefault="006A7150" w:rsidP="00D252B3">
      <w:pPr>
        <w:pStyle w:val="NoSpacing"/>
        <w:spacing w:line="276" w:lineRule="auto"/>
        <w:jc w:val="both"/>
        <w:rPr>
          <w:rFonts w:ascii="Times New Roman" w:hAnsi="Times New Roman" w:cs="Times New Roman"/>
        </w:rPr>
      </w:pPr>
    </w:p>
    <w:p w:rsidR="006A7150" w:rsidRDefault="006A7150" w:rsidP="00D252B3">
      <w:pPr>
        <w:pStyle w:val="NoSpacing"/>
        <w:spacing w:line="276" w:lineRule="auto"/>
        <w:jc w:val="both"/>
        <w:rPr>
          <w:rFonts w:ascii="Times New Roman" w:hAnsi="Times New Roman" w:cs="Times New Roman"/>
        </w:rPr>
      </w:pPr>
      <w:r>
        <w:rPr>
          <w:rFonts w:ascii="Times New Roman" w:hAnsi="Times New Roman" w:cs="Times New Roman"/>
        </w:rPr>
        <w:t>Dokumenta t</w:t>
      </w:r>
      <w:r w:rsidR="00EE1D44">
        <w:rPr>
          <w:rFonts w:ascii="Times New Roman" w:hAnsi="Times New Roman" w:cs="Times New Roman"/>
        </w:rPr>
        <w:t>ë</w:t>
      </w:r>
      <w:r>
        <w:rPr>
          <w:rFonts w:ascii="Times New Roman" w:hAnsi="Times New Roman" w:cs="Times New Roman"/>
        </w:rPr>
        <w:t xml:space="preserve"> tjer</w:t>
      </w:r>
      <w:r w:rsidR="00EE1D44">
        <w:rPr>
          <w:rFonts w:ascii="Times New Roman" w:hAnsi="Times New Roman" w:cs="Times New Roman"/>
        </w:rPr>
        <w:t>ë</w:t>
      </w:r>
      <w:r>
        <w:rPr>
          <w:rFonts w:ascii="Times New Roman" w:hAnsi="Times New Roman" w:cs="Times New Roman"/>
        </w:rPr>
        <w:t xml:space="preserve"> t</w:t>
      </w:r>
      <w:r w:rsidR="00EE1D44">
        <w:rPr>
          <w:rFonts w:ascii="Times New Roman" w:hAnsi="Times New Roman" w:cs="Times New Roman"/>
        </w:rPr>
        <w:t>ë</w:t>
      </w:r>
      <w:r>
        <w:rPr>
          <w:rFonts w:ascii="Times New Roman" w:hAnsi="Times New Roman" w:cs="Times New Roman"/>
        </w:rPr>
        <w:t xml:space="preserve"> r</w:t>
      </w:r>
      <w:r w:rsidR="00EE1D44">
        <w:rPr>
          <w:rFonts w:ascii="Times New Roman" w:hAnsi="Times New Roman" w:cs="Times New Roman"/>
        </w:rPr>
        <w:t>ë</w:t>
      </w:r>
      <w:r>
        <w:rPr>
          <w:rFonts w:ascii="Times New Roman" w:hAnsi="Times New Roman" w:cs="Times New Roman"/>
        </w:rPr>
        <w:t>nd</w:t>
      </w:r>
      <w:r w:rsidR="00EE1D44">
        <w:rPr>
          <w:rFonts w:ascii="Times New Roman" w:hAnsi="Times New Roman" w:cs="Times New Roman"/>
        </w:rPr>
        <w:t>ë</w:t>
      </w:r>
      <w:r>
        <w:rPr>
          <w:rFonts w:ascii="Times New Roman" w:hAnsi="Times New Roman" w:cs="Times New Roman"/>
        </w:rPr>
        <w:t>sish</w:t>
      </w:r>
      <w:r w:rsidR="00EE1D44">
        <w:rPr>
          <w:rFonts w:ascii="Times New Roman" w:hAnsi="Times New Roman" w:cs="Times New Roman"/>
        </w:rPr>
        <w:t>ë</w:t>
      </w:r>
      <w:r>
        <w:rPr>
          <w:rFonts w:ascii="Times New Roman" w:hAnsi="Times New Roman" w:cs="Times New Roman"/>
        </w:rPr>
        <w:t>m t</w:t>
      </w:r>
      <w:r w:rsidR="00EE1D44">
        <w:rPr>
          <w:rFonts w:ascii="Times New Roman" w:hAnsi="Times New Roman" w:cs="Times New Roman"/>
        </w:rPr>
        <w:t>ë</w:t>
      </w:r>
      <w:r>
        <w:rPr>
          <w:rFonts w:ascii="Times New Roman" w:hAnsi="Times New Roman" w:cs="Times New Roman"/>
        </w:rPr>
        <w:t xml:space="preserve"> mbajtur n</w:t>
      </w:r>
      <w:r w:rsidR="00EE1D44">
        <w:rPr>
          <w:rFonts w:ascii="Times New Roman" w:hAnsi="Times New Roman" w:cs="Times New Roman"/>
        </w:rPr>
        <w:t>ë</w:t>
      </w:r>
      <w:r>
        <w:rPr>
          <w:rFonts w:ascii="Times New Roman" w:hAnsi="Times New Roman" w:cs="Times New Roman"/>
        </w:rPr>
        <w:t xml:space="preserve"> konsiderat</w:t>
      </w:r>
      <w:r w:rsidR="00EE1D44">
        <w:rPr>
          <w:rFonts w:ascii="Times New Roman" w:hAnsi="Times New Roman" w:cs="Times New Roman"/>
        </w:rPr>
        <w:t>ë</w:t>
      </w:r>
      <w:r>
        <w:rPr>
          <w:rFonts w:ascii="Times New Roman" w:hAnsi="Times New Roman" w:cs="Times New Roman"/>
        </w:rPr>
        <w:t xml:space="preserve"> gjat</w:t>
      </w:r>
      <w:r w:rsidR="00EE1D44">
        <w:rPr>
          <w:rFonts w:ascii="Times New Roman" w:hAnsi="Times New Roman" w:cs="Times New Roman"/>
        </w:rPr>
        <w:t>ë</w:t>
      </w:r>
      <w:r>
        <w:rPr>
          <w:rFonts w:ascii="Times New Roman" w:hAnsi="Times New Roman" w:cs="Times New Roman"/>
        </w:rPr>
        <w:t xml:space="preserve"> formulimit t</w:t>
      </w:r>
      <w:r w:rsidR="00EE1D44">
        <w:rPr>
          <w:rFonts w:ascii="Times New Roman" w:hAnsi="Times New Roman" w:cs="Times New Roman"/>
        </w:rPr>
        <w:t>ë</w:t>
      </w:r>
      <w:r>
        <w:rPr>
          <w:rFonts w:ascii="Times New Roman" w:hAnsi="Times New Roman" w:cs="Times New Roman"/>
        </w:rPr>
        <w:t xml:space="preserve"> objektivave specifik</w:t>
      </w:r>
      <w:r w:rsidR="00EE1D44">
        <w:rPr>
          <w:rFonts w:ascii="Times New Roman" w:hAnsi="Times New Roman" w:cs="Times New Roman"/>
        </w:rPr>
        <w:t>ë</w:t>
      </w:r>
      <w:r>
        <w:rPr>
          <w:rFonts w:ascii="Times New Roman" w:hAnsi="Times New Roman" w:cs="Times New Roman"/>
        </w:rPr>
        <w:t>, masave e veprimeve t</w:t>
      </w:r>
      <w:r w:rsidR="00EE1D44">
        <w:rPr>
          <w:rFonts w:ascii="Times New Roman" w:hAnsi="Times New Roman" w:cs="Times New Roman"/>
        </w:rPr>
        <w:t>ë</w:t>
      </w:r>
      <w:r>
        <w:rPr>
          <w:rFonts w:ascii="Times New Roman" w:hAnsi="Times New Roman" w:cs="Times New Roman"/>
        </w:rPr>
        <w:t xml:space="preserve"> parashikuara n</w:t>
      </w:r>
      <w:r w:rsidR="00EE1D44">
        <w:rPr>
          <w:rFonts w:ascii="Times New Roman" w:hAnsi="Times New Roman" w:cs="Times New Roman"/>
        </w:rPr>
        <w:t>ë</w:t>
      </w:r>
      <w:r>
        <w:rPr>
          <w:rFonts w:ascii="Times New Roman" w:hAnsi="Times New Roman" w:cs="Times New Roman"/>
        </w:rPr>
        <w:t xml:space="preserve"> “PKV LGBTI+ 2021 – 2027” jan</w:t>
      </w:r>
      <w:r w:rsidR="00EE1D44">
        <w:rPr>
          <w:rFonts w:ascii="Times New Roman" w:hAnsi="Times New Roman" w:cs="Times New Roman"/>
        </w:rPr>
        <w:t>ë</w:t>
      </w:r>
      <w:r>
        <w:rPr>
          <w:rFonts w:ascii="Times New Roman" w:hAnsi="Times New Roman" w:cs="Times New Roman"/>
        </w:rPr>
        <w:t xml:space="preserve"> edhe </w:t>
      </w:r>
      <w:r w:rsidR="0088544A">
        <w:rPr>
          <w:rFonts w:ascii="Times New Roman" w:hAnsi="Times New Roman" w:cs="Times New Roman"/>
        </w:rPr>
        <w:t>rekomandimet e p</w:t>
      </w:r>
      <w:r w:rsidR="00EE1D44">
        <w:rPr>
          <w:rFonts w:ascii="Times New Roman" w:hAnsi="Times New Roman" w:cs="Times New Roman"/>
        </w:rPr>
        <w:t>ë</w:t>
      </w:r>
      <w:r w:rsidR="0088544A">
        <w:rPr>
          <w:rFonts w:ascii="Times New Roman" w:hAnsi="Times New Roman" w:cs="Times New Roman"/>
        </w:rPr>
        <w:t>rfshira n</w:t>
      </w:r>
      <w:r w:rsidR="00EE1D44">
        <w:rPr>
          <w:rFonts w:ascii="Times New Roman" w:hAnsi="Times New Roman" w:cs="Times New Roman"/>
        </w:rPr>
        <w:t>ë</w:t>
      </w:r>
      <w:r w:rsidR="0088544A">
        <w:rPr>
          <w:rFonts w:ascii="Times New Roman" w:hAnsi="Times New Roman" w:cs="Times New Roman"/>
        </w:rPr>
        <w:t xml:space="preserve"> </w:t>
      </w:r>
      <w:r>
        <w:rPr>
          <w:rFonts w:ascii="Times New Roman" w:hAnsi="Times New Roman" w:cs="Times New Roman"/>
        </w:rPr>
        <w:t>Raporti</w:t>
      </w:r>
      <w:r w:rsidR="0088544A">
        <w:rPr>
          <w:rFonts w:ascii="Times New Roman" w:hAnsi="Times New Roman" w:cs="Times New Roman"/>
        </w:rPr>
        <w:t>n e</w:t>
      </w:r>
      <w:r>
        <w:rPr>
          <w:rFonts w:ascii="Times New Roman" w:hAnsi="Times New Roman" w:cs="Times New Roman"/>
        </w:rPr>
        <w:t xml:space="preserve"> Rishikimit Universal Periodik p</w:t>
      </w:r>
      <w:r w:rsidR="00EE1D44">
        <w:rPr>
          <w:rFonts w:ascii="Times New Roman" w:hAnsi="Times New Roman" w:cs="Times New Roman"/>
        </w:rPr>
        <w:t>ë</w:t>
      </w:r>
      <w:r>
        <w:rPr>
          <w:rFonts w:ascii="Times New Roman" w:hAnsi="Times New Roman" w:cs="Times New Roman"/>
        </w:rPr>
        <w:t>r Shqip</w:t>
      </w:r>
      <w:r w:rsidR="00EE1D44">
        <w:rPr>
          <w:rFonts w:ascii="Times New Roman" w:hAnsi="Times New Roman" w:cs="Times New Roman"/>
        </w:rPr>
        <w:t>ë</w:t>
      </w:r>
      <w:r>
        <w:rPr>
          <w:rFonts w:ascii="Times New Roman" w:hAnsi="Times New Roman" w:cs="Times New Roman"/>
        </w:rPr>
        <w:t>rin</w:t>
      </w:r>
      <w:r w:rsidR="00EE1D44">
        <w:rPr>
          <w:rFonts w:ascii="Times New Roman" w:hAnsi="Times New Roman" w:cs="Times New Roman"/>
        </w:rPr>
        <w:t>ë</w:t>
      </w:r>
      <w:r>
        <w:rPr>
          <w:rFonts w:ascii="Times New Roman" w:hAnsi="Times New Roman" w:cs="Times New Roman"/>
        </w:rPr>
        <w:t xml:space="preserve"> 2019</w:t>
      </w:r>
      <w:r>
        <w:rPr>
          <w:rStyle w:val="FootnoteReference"/>
          <w:rFonts w:ascii="Times New Roman" w:hAnsi="Times New Roman" w:cs="Times New Roman"/>
        </w:rPr>
        <w:footnoteReference w:id="8"/>
      </w:r>
      <w:r>
        <w:rPr>
          <w:rFonts w:ascii="Times New Roman" w:hAnsi="Times New Roman" w:cs="Times New Roman"/>
        </w:rPr>
        <w:t>, Raporti</w:t>
      </w:r>
      <w:r w:rsidR="0088544A">
        <w:rPr>
          <w:rFonts w:ascii="Times New Roman" w:hAnsi="Times New Roman" w:cs="Times New Roman"/>
        </w:rPr>
        <w:t>n e</w:t>
      </w:r>
      <w:r>
        <w:rPr>
          <w:rFonts w:ascii="Times New Roman" w:hAnsi="Times New Roman" w:cs="Times New Roman"/>
        </w:rPr>
        <w:t xml:space="preserve"> </w:t>
      </w:r>
      <w:r w:rsidRPr="006A7150">
        <w:rPr>
          <w:rFonts w:ascii="Times New Roman" w:hAnsi="Times New Roman" w:cs="Times New Roman"/>
        </w:rPr>
        <w:t>Komisioni</w:t>
      </w:r>
      <w:r>
        <w:rPr>
          <w:rFonts w:ascii="Times New Roman" w:hAnsi="Times New Roman" w:cs="Times New Roman"/>
        </w:rPr>
        <w:t>t</w:t>
      </w:r>
      <w:r w:rsidRPr="006A7150">
        <w:rPr>
          <w:rFonts w:ascii="Times New Roman" w:hAnsi="Times New Roman" w:cs="Times New Roman"/>
        </w:rPr>
        <w:t xml:space="preserve"> Evropian kundër Racizmit dhe Intolerancës</w:t>
      </w:r>
      <w:r>
        <w:rPr>
          <w:rFonts w:ascii="Times New Roman" w:hAnsi="Times New Roman" w:cs="Times New Roman"/>
        </w:rPr>
        <w:t xml:space="preserve"> (ECRI)</w:t>
      </w:r>
      <w:r w:rsidR="0088544A">
        <w:rPr>
          <w:rFonts w:ascii="Times New Roman" w:hAnsi="Times New Roman" w:cs="Times New Roman"/>
        </w:rPr>
        <w:t xml:space="preserve"> p</w:t>
      </w:r>
      <w:r w:rsidR="00EE1D44">
        <w:rPr>
          <w:rFonts w:ascii="Times New Roman" w:hAnsi="Times New Roman" w:cs="Times New Roman"/>
        </w:rPr>
        <w:t>ë</w:t>
      </w:r>
      <w:r w:rsidR="0088544A">
        <w:rPr>
          <w:rFonts w:ascii="Times New Roman" w:hAnsi="Times New Roman" w:cs="Times New Roman"/>
        </w:rPr>
        <w:t>r Shqip</w:t>
      </w:r>
      <w:r w:rsidR="00EE1D44">
        <w:rPr>
          <w:rFonts w:ascii="Times New Roman" w:hAnsi="Times New Roman" w:cs="Times New Roman"/>
        </w:rPr>
        <w:t>ë</w:t>
      </w:r>
      <w:r w:rsidR="0088544A">
        <w:rPr>
          <w:rFonts w:ascii="Times New Roman" w:hAnsi="Times New Roman" w:cs="Times New Roman"/>
        </w:rPr>
        <w:t>rin</w:t>
      </w:r>
      <w:r w:rsidR="00EE1D44">
        <w:rPr>
          <w:rFonts w:ascii="Times New Roman" w:hAnsi="Times New Roman" w:cs="Times New Roman"/>
        </w:rPr>
        <w:t>ë</w:t>
      </w:r>
      <w:r w:rsidR="0088544A">
        <w:rPr>
          <w:rFonts w:ascii="Times New Roman" w:hAnsi="Times New Roman" w:cs="Times New Roman"/>
        </w:rPr>
        <w:t xml:space="preserve"> 2020</w:t>
      </w:r>
      <w:r w:rsidR="0088544A">
        <w:rPr>
          <w:rStyle w:val="FootnoteReference"/>
          <w:rFonts w:ascii="Times New Roman" w:hAnsi="Times New Roman" w:cs="Times New Roman"/>
        </w:rPr>
        <w:footnoteReference w:id="9"/>
      </w:r>
      <w:r w:rsidR="0088544A">
        <w:rPr>
          <w:rFonts w:ascii="Times New Roman" w:hAnsi="Times New Roman" w:cs="Times New Roman"/>
        </w:rPr>
        <w:t>, Raportin e Komisionit Evropian p</w:t>
      </w:r>
      <w:r w:rsidR="00EE1D44">
        <w:rPr>
          <w:rFonts w:ascii="Times New Roman" w:hAnsi="Times New Roman" w:cs="Times New Roman"/>
        </w:rPr>
        <w:t>ë</w:t>
      </w:r>
      <w:r w:rsidR="0088544A">
        <w:rPr>
          <w:rFonts w:ascii="Times New Roman" w:hAnsi="Times New Roman" w:cs="Times New Roman"/>
        </w:rPr>
        <w:t>r Shqip</w:t>
      </w:r>
      <w:r w:rsidR="00EE1D44">
        <w:rPr>
          <w:rFonts w:ascii="Times New Roman" w:hAnsi="Times New Roman" w:cs="Times New Roman"/>
        </w:rPr>
        <w:t>ë</w:t>
      </w:r>
      <w:r w:rsidR="0088544A">
        <w:rPr>
          <w:rFonts w:ascii="Times New Roman" w:hAnsi="Times New Roman" w:cs="Times New Roman"/>
        </w:rPr>
        <w:t>rin</w:t>
      </w:r>
      <w:r w:rsidR="00EE1D44">
        <w:rPr>
          <w:rFonts w:ascii="Times New Roman" w:hAnsi="Times New Roman" w:cs="Times New Roman"/>
        </w:rPr>
        <w:t>ë</w:t>
      </w:r>
      <w:r w:rsidR="0088544A">
        <w:rPr>
          <w:rFonts w:ascii="Times New Roman" w:hAnsi="Times New Roman" w:cs="Times New Roman"/>
        </w:rPr>
        <w:t xml:space="preserve"> 2020</w:t>
      </w:r>
      <w:r w:rsidR="0088544A">
        <w:rPr>
          <w:rStyle w:val="FootnoteReference"/>
          <w:rFonts w:ascii="Times New Roman" w:hAnsi="Times New Roman" w:cs="Times New Roman"/>
        </w:rPr>
        <w:footnoteReference w:id="10"/>
      </w:r>
      <w:r w:rsidR="0088544A">
        <w:rPr>
          <w:rFonts w:ascii="Times New Roman" w:hAnsi="Times New Roman" w:cs="Times New Roman"/>
        </w:rPr>
        <w:t xml:space="preserve">, </w:t>
      </w:r>
      <w:r w:rsidR="002B059C">
        <w:rPr>
          <w:rFonts w:ascii="Times New Roman" w:hAnsi="Times New Roman" w:cs="Times New Roman"/>
        </w:rPr>
        <w:t>Raportin e ILGA Evropë mbi Rishikimi</w:t>
      </w:r>
      <w:r w:rsidR="00982348">
        <w:rPr>
          <w:rFonts w:ascii="Times New Roman" w:hAnsi="Times New Roman" w:cs="Times New Roman"/>
        </w:rPr>
        <w:t>n Vjetor të Situatës së të Drej</w:t>
      </w:r>
      <w:r w:rsidR="002B059C">
        <w:rPr>
          <w:rFonts w:ascii="Times New Roman" w:hAnsi="Times New Roman" w:cs="Times New Roman"/>
        </w:rPr>
        <w:t>tave Njer</w:t>
      </w:r>
      <w:r w:rsidR="00982348">
        <w:rPr>
          <w:rFonts w:ascii="Times New Roman" w:hAnsi="Times New Roman" w:cs="Times New Roman"/>
        </w:rPr>
        <w:t>ë</w:t>
      </w:r>
      <w:r w:rsidR="002B059C">
        <w:rPr>
          <w:rFonts w:ascii="Times New Roman" w:hAnsi="Times New Roman" w:cs="Times New Roman"/>
        </w:rPr>
        <w:t>zore t</w:t>
      </w:r>
      <w:r w:rsidR="00982348">
        <w:rPr>
          <w:rFonts w:ascii="Times New Roman" w:hAnsi="Times New Roman" w:cs="Times New Roman"/>
        </w:rPr>
        <w:t>ë</w:t>
      </w:r>
      <w:r w:rsidR="002B059C">
        <w:rPr>
          <w:rFonts w:ascii="Times New Roman" w:hAnsi="Times New Roman" w:cs="Times New Roman"/>
        </w:rPr>
        <w:t xml:space="preserve"> </w:t>
      </w:r>
      <w:r w:rsidR="00982348">
        <w:rPr>
          <w:rFonts w:ascii="Times New Roman" w:hAnsi="Times New Roman" w:cs="Times New Roman"/>
        </w:rPr>
        <w:t>LGBTI – kapitulli për Shqipërinë (2021)</w:t>
      </w:r>
      <w:r w:rsidR="00982348">
        <w:rPr>
          <w:rStyle w:val="FootnoteReference"/>
          <w:rFonts w:ascii="Times New Roman" w:hAnsi="Times New Roman" w:cs="Times New Roman"/>
        </w:rPr>
        <w:footnoteReference w:id="11"/>
      </w:r>
      <w:r w:rsidR="00982348">
        <w:rPr>
          <w:rFonts w:ascii="Times New Roman" w:hAnsi="Times New Roman" w:cs="Times New Roman"/>
        </w:rPr>
        <w:t xml:space="preserve">, </w:t>
      </w:r>
      <w:r w:rsidR="0088544A">
        <w:rPr>
          <w:rFonts w:ascii="Times New Roman" w:hAnsi="Times New Roman" w:cs="Times New Roman"/>
        </w:rPr>
        <w:t xml:space="preserve">etj. </w:t>
      </w:r>
    </w:p>
    <w:p w:rsidR="00EE41BE" w:rsidRDefault="00EE41BE" w:rsidP="00044AC3">
      <w:pPr>
        <w:pStyle w:val="NoSpacing"/>
        <w:spacing w:line="276" w:lineRule="auto"/>
        <w:jc w:val="both"/>
        <w:rPr>
          <w:rFonts w:ascii="Times New Roman" w:hAnsi="Times New Roman" w:cs="Times New Roman"/>
        </w:rPr>
      </w:pPr>
    </w:p>
    <w:p w:rsidR="00BF02E2" w:rsidRPr="001B1D14" w:rsidRDefault="00BF02E2" w:rsidP="00BF02E2">
      <w:pPr>
        <w:spacing w:line="276" w:lineRule="auto"/>
        <w:jc w:val="both"/>
        <w:rPr>
          <w:szCs w:val="22"/>
        </w:rPr>
      </w:pPr>
    </w:p>
    <w:p w:rsidR="00FF2027" w:rsidRPr="00F053B5" w:rsidRDefault="00D275D3" w:rsidP="00F053B5">
      <w:pPr>
        <w:pStyle w:val="Heading2"/>
        <w:shd w:val="clear" w:color="auto" w:fill="99FFCC"/>
        <w:spacing w:before="0" w:line="276" w:lineRule="auto"/>
        <w:rPr>
          <w:rFonts w:ascii="Times New Roman" w:eastAsiaTheme="minorHAnsi" w:hAnsi="Times New Roman"/>
          <w:color w:val="FF00FF"/>
          <w:sz w:val="24"/>
          <w:szCs w:val="24"/>
          <w:lang w:eastAsia="en-US"/>
        </w:rPr>
      </w:pPr>
      <w:bookmarkStart w:id="4" w:name="_Toc79509617"/>
      <w:r w:rsidRPr="00F053B5">
        <w:rPr>
          <w:rFonts w:ascii="Times New Roman" w:eastAsiaTheme="minorHAnsi" w:hAnsi="Times New Roman"/>
          <w:color w:val="FF00FF"/>
          <w:sz w:val="24"/>
          <w:szCs w:val="24"/>
          <w:lang w:eastAsia="en-US"/>
        </w:rPr>
        <w:t>2. Kuadri l</w:t>
      </w:r>
      <w:r w:rsidR="00FF2027" w:rsidRPr="00F053B5">
        <w:rPr>
          <w:rFonts w:ascii="Times New Roman" w:eastAsiaTheme="minorHAnsi" w:hAnsi="Times New Roman"/>
          <w:color w:val="FF00FF"/>
          <w:sz w:val="24"/>
          <w:szCs w:val="24"/>
          <w:lang w:eastAsia="en-US"/>
        </w:rPr>
        <w:t xml:space="preserve">igjor dhe </w:t>
      </w:r>
      <w:r w:rsidRPr="00F053B5">
        <w:rPr>
          <w:rFonts w:ascii="Times New Roman" w:eastAsiaTheme="minorHAnsi" w:hAnsi="Times New Roman"/>
          <w:color w:val="FF00FF"/>
          <w:sz w:val="24"/>
          <w:szCs w:val="24"/>
          <w:lang w:eastAsia="en-US"/>
        </w:rPr>
        <w:t>i</w:t>
      </w:r>
      <w:r w:rsidR="00FF2027" w:rsidRPr="00F053B5">
        <w:rPr>
          <w:rFonts w:ascii="Times New Roman" w:eastAsiaTheme="minorHAnsi" w:hAnsi="Times New Roman"/>
          <w:color w:val="FF00FF"/>
          <w:sz w:val="24"/>
          <w:szCs w:val="24"/>
          <w:lang w:eastAsia="en-US"/>
        </w:rPr>
        <w:t>nstitucional</w:t>
      </w:r>
      <w:r w:rsidR="003B7975" w:rsidRPr="00F053B5">
        <w:rPr>
          <w:rFonts w:ascii="Times New Roman" w:eastAsiaTheme="minorHAnsi" w:hAnsi="Times New Roman"/>
          <w:color w:val="FF00FF"/>
          <w:sz w:val="24"/>
          <w:szCs w:val="24"/>
          <w:lang w:eastAsia="en-US"/>
        </w:rPr>
        <w:t xml:space="preserve"> </w:t>
      </w:r>
      <w:r w:rsidR="00AA0104" w:rsidRPr="00F053B5">
        <w:rPr>
          <w:rFonts w:ascii="Times New Roman" w:eastAsiaTheme="minorHAnsi" w:hAnsi="Times New Roman"/>
          <w:color w:val="FF00FF"/>
          <w:sz w:val="24"/>
          <w:szCs w:val="24"/>
          <w:lang w:eastAsia="en-US"/>
        </w:rPr>
        <w:t>si</w:t>
      </w:r>
      <w:r w:rsidRPr="00F053B5">
        <w:rPr>
          <w:rFonts w:ascii="Times New Roman" w:eastAsiaTheme="minorHAnsi" w:hAnsi="Times New Roman"/>
          <w:color w:val="FF00FF"/>
          <w:sz w:val="24"/>
          <w:szCs w:val="24"/>
          <w:lang w:eastAsia="en-US"/>
        </w:rPr>
        <w:t xml:space="preserve"> dhe lidhja me </w:t>
      </w:r>
      <w:r w:rsidR="008C7B25" w:rsidRPr="00F053B5">
        <w:rPr>
          <w:rFonts w:ascii="Times New Roman" w:eastAsiaTheme="minorHAnsi" w:hAnsi="Times New Roman"/>
          <w:color w:val="FF00FF"/>
          <w:sz w:val="24"/>
          <w:szCs w:val="24"/>
          <w:lang w:eastAsia="en-US"/>
        </w:rPr>
        <w:t>dokumentat strategjike</w:t>
      </w:r>
      <w:bookmarkEnd w:id="4"/>
    </w:p>
    <w:p w:rsidR="00894DC2" w:rsidRPr="00F053B5" w:rsidRDefault="00894DC2" w:rsidP="00BF02E2">
      <w:pPr>
        <w:spacing w:line="276" w:lineRule="auto"/>
        <w:jc w:val="both"/>
        <w:rPr>
          <w:noProof/>
          <w:color w:val="FF00FF"/>
          <w:spacing w:val="-4"/>
        </w:rPr>
      </w:pPr>
    </w:p>
    <w:p w:rsidR="007E7C34" w:rsidRPr="00F053B5" w:rsidRDefault="007359C7" w:rsidP="00BF02E2">
      <w:pPr>
        <w:pStyle w:val="Heading3"/>
        <w:spacing w:before="0" w:after="0" w:line="276" w:lineRule="auto"/>
        <w:rPr>
          <w:rFonts w:ascii="Times New Roman" w:hAnsi="Times New Roman"/>
          <w:color w:val="FF00FF"/>
          <w:sz w:val="24"/>
          <w:szCs w:val="24"/>
          <w:lang w:val="it-IT"/>
        </w:rPr>
      </w:pPr>
      <w:bookmarkStart w:id="5" w:name="_Toc79509618"/>
      <w:r w:rsidRPr="00F053B5">
        <w:rPr>
          <w:rFonts w:ascii="Times New Roman" w:hAnsi="Times New Roman"/>
          <w:color w:val="FF00FF"/>
          <w:sz w:val="24"/>
          <w:szCs w:val="24"/>
          <w:lang w:val="it-IT"/>
        </w:rPr>
        <w:t xml:space="preserve">2.1. </w:t>
      </w:r>
      <w:r w:rsidR="007A4CF0" w:rsidRPr="00F053B5">
        <w:rPr>
          <w:rFonts w:ascii="Times New Roman" w:hAnsi="Times New Roman"/>
          <w:color w:val="FF00FF"/>
          <w:sz w:val="24"/>
          <w:szCs w:val="24"/>
          <w:lang w:val="it-IT"/>
        </w:rPr>
        <w:t>Kuadri ligjor kombëtar</w:t>
      </w:r>
      <w:bookmarkEnd w:id="5"/>
    </w:p>
    <w:p w:rsidR="00B83886" w:rsidRPr="00E74D70" w:rsidRDefault="00982348" w:rsidP="0005701D">
      <w:pPr>
        <w:shd w:val="clear" w:color="auto" w:fill="FFFFFF"/>
        <w:spacing w:before="240" w:after="240" w:line="253" w:lineRule="atLeast"/>
        <w:jc w:val="both"/>
        <w:rPr>
          <w:rFonts w:eastAsia="Times New Roman"/>
          <w:color w:val="222222"/>
          <w:lang w:eastAsia="en-US"/>
        </w:rPr>
      </w:pPr>
      <w:r>
        <w:rPr>
          <w:rFonts w:eastAsia="Times New Roman"/>
          <w:color w:val="222222"/>
          <w:lang w:eastAsia="en-US"/>
        </w:rPr>
        <w:t>Vitet e fundit Shqipëria ka bërë përparime në drejtim të përmirësimit të kuadrit ligjor kombëtar mbi të drejtat njerëzore, barazinë dhe mosdiskriminimin, si dhe harmonizimit të këtij kuadri me atë ndërkombëtar. Ndër ligjet kryesore që adresojnë çështjet e të drejtave, mbrojtjes dhe trajtimit të personave LGBTI+ në Shqipëri</w:t>
      </w:r>
      <w:r w:rsidR="006862A4">
        <w:rPr>
          <w:rFonts w:eastAsia="Times New Roman"/>
          <w:color w:val="222222"/>
          <w:lang w:eastAsia="en-US"/>
        </w:rPr>
        <w:t xml:space="preserve">, </w:t>
      </w:r>
      <w:r>
        <w:rPr>
          <w:rFonts w:eastAsia="Times New Roman"/>
          <w:color w:val="222222"/>
          <w:lang w:eastAsia="en-US"/>
        </w:rPr>
        <w:t>përmendim</w:t>
      </w:r>
      <w:r w:rsidR="00E74D70" w:rsidRPr="00E74D70">
        <w:rPr>
          <w:rFonts w:eastAsia="Times New Roman"/>
          <w:color w:val="222222"/>
          <w:lang w:eastAsia="en-US"/>
        </w:rPr>
        <w:t>:</w:t>
      </w:r>
    </w:p>
    <w:p w:rsidR="00EB00B9" w:rsidRPr="004A2C73" w:rsidRDefault="00B83886" w:rsidP="0005701D">
      <w:pPr>
        <w:shd w:val="clear" w:color="auto" w:fill="FFFFFF"/>
        <w:jc w:val="both"/>
      </w:pPr>
      <w:r w:rsidRPr="004A2C73">
        <w:rPr>
          <w:rFonts w:eastAsia="Times New Roman"/>
          <w:b/>
          <w:bCs/>
          <w:color w:val="222222"/>
          <w:lang w:eastAsia="en-US"/>
        </w:rPr>
        <w:t>Ligji nr. 8417, datë 21.10.1998 “Kushtetuta e Republikës së Shqipërisë”, i ndryshuar.</w:t>
      </w:r>
      <w:r w:rsidR="00AC3C2D">
        <w:rPr>
          <w:lang w:val="it-IT"/>
        </w:rPr>
        <w:t xml:space="preserve"> </w:t>
      </w:r>
      <w:r w:rsidR="00EB00B9" w:rsidRPr="004A2C73">
        <w:rPr>
          <w:lang w:val="it-IT"/>
        </w:rPr>
        <w:t>Njohja dhe respektimi i të drejtave ligjore të barabarta të personave LGBTI</w:t>
      </w:r>
      <w:r w:rsidR="00AC3C2D">
        <w:rPr>
          <w:lang w:val="it-IT"/>
        </w:rPr>
        <w:t>+</w:t>
      </w:r>
      <w:r w:rsidR="00EB00B9" w:rsidRPr="004A2C73">
        <w:rPr>
          <w:lang w:val="it-IT"/>
        </w:rPr>
        <w:t xml:space="preserve"> theksohen që në </w:t>
      </w:r>
      <w:r w:rsidR="00EB00B9" w:rsidRPr="004A2C73">
        <w:rPr>
          <w:b/>
          <w:bCs/>
          <w:lang w:val="it-IT"/>
        </w:rPr>
        <w:t>Kushtetutën e Republikës së Shqipërisë</w:t>
      </w:r>
      <w:r w:rsidR="00EB00B9" w:rsidRPr="004A2C73">
        <w:rPr>
          <w:lang w:val="it-IT"/>
        </w:rPr>
        <w:t xml:space="preserve">, në nenin 18/2 të së cilës promovohen parimet e barazisë dhe mosdiskriminimit: “Të gjithë janë të barabartë përpara ligjit dhe askush nuk mund të diskriminohet padrejtësisht për shkaqe të tilla si gjinia, raca, feja, etnia, gjuha, bindjet politike, fetare a filozofike, gjendja ekonomike, arsimore, sociale”. </w:t>
      </w:r>
      <w:r w:rsidR="00EB00B9" w:rsidRPr="004A2C73">
        <w:t xml:space="preserve">Kushtetuta përcakton </w:t>
      </w:r>
      <w:r w:rsidR="00850B51">
        <w:t xml:space="preserve">gjithashtu </w:t>
      </w:r>
      <w:r w:rsidR="00EB00B9" w:rsidRPr="004A2C73">
        <w:t>të drejta gjithëpërfshirëse për qytetarët (neni 15).</w:t>
      </w:r>
    </w:p>
    <w:p w:rsidR="009F6112" w:rsidRDefault="009F6112" w:rsidP="00EB00B9">
      <w:pPr>
        <w:shd w:val="clear" w:color="auto" w:fill="FFFFFF"/>
        <w:jc w:val="both"/>
        <w:rPr>
          <w:rFonts w:eastAsia="Times New Roman"/>
          <w:b/>
          <w:bCs/>
          <w:color w:val="222222"/>
          <w:lang w:eastAsia="en-US"/>
        </w:rPr>
      </w:pPr>
    </w:p>
    <w:p w:rsidR="006F2686" w:rsidRPr="004A2C73" w:rsidRDefault="006F2686" w:rsidP="006F2686">
      <w:pPr>
        <w:shd w:val="clear" w:color="auto" w:fill="FFFFFF"/>
        <w:jc w:val="both"/>
        <w:rPr>
          <w:rFonts w:ascii="Arial" w:eastAsia="Times New Roman" w:hAnsi="Arial" w:cs="Arial"/>
          <w:spacing w:val="-2"/>
          <w:lang w:val="en-US" w:eastAsia="en-US"/>
        </w:rPr>
      </w:pPr>
      <w:r w:rsidRPr="004A2C73">
        <w:rPr>
          <w:rFonts w:eastAsia="Times New Roman"/>
          <w:b/>
          <w:bCs/>
          <w:color w:val="222222"/>
          <w:lang w:eastAsia="en-US"/>
        </w:rPr>
        <w:t>Ligji nr.</w:t>
      </w:r>
      <w:r>
        <w:rPr>
          <w:rFonts w:eastAsia="Times New Roman"/>
          <w:b/>
          <w:bCs/>
          <w:color w:val="222222"/>
          <w:lang w:eastAsia="en-US"/>
        </w:rPr>
        <w:t xml:space="preserve"> </w:t>
      </w:r>
      <w:r w:rsidRPr="004A2C73">
        <w:rPr>
          <w:rFonts w:eastAsia="Times New Roman"/>
          <w:b/>
          <w:bCs/>
          <w:color w:val="222222"/>
          <w:lang w:eastAsia="en-US"/>
        </w:rPr>
        <w:t>10221, datë 4.2.2010 “Për Mbrojtjen nga Diskriminimi”, i ndryshuar.</w:t>
      </w:r>
      <w:r>
        <w:rPr>
          <w:rFonts w:eastAsia="Times New Roman"/>
          <w:b/>
          <w:bCs/>
          <w:color w:val="222222"/>
          <w:lang w:eastAsia="en-US"/>
        </w:rPr>
        <w:t xml:space="preserve"> </w:t>
      </w:r>
      <w:r w:rsidRPr="004A2C73">
        <w:t xml:space="preserve">Që nga viti 2010, Shqipëria ka miratuar një ligj të përgjithshëm </w:t>
      </w:r>
      <w:r w:rsidR="00F053B5">
        <w:t xml:space="preserve">për Mbrojtjen nga Diskriminimi, </w:t>
      </w:r>
      <w:r w:rsidRPr="004A2C73">
        <w:t>i cili është përgjithësisht në përputhje me acquis e BE-së për barazinë. Ai “</w:t>
      </w:r>
      <w:r w:rsidRPr="004A2C73">
        <w:rPr>
          <w:rFonts w:eastAsia="Times New Roman"/>
          <w:spacing w:val="-2"/>
          <w:lang w:eastAsia="en-US"/>
        </w:rPr>
        <w:t xml:space="preserve">rregullon   zbatimin   </w:t>
      </w:r>
      <w:r w:rsidRPr="004A2C73">
        <w:rPr>
          <w:rFonts w:eastAsia="Times New Roman"/>
          <w:spacing w:val="-2"/>
          <w:lang w:eastAsia="en-US"/>
        </w:rPr>
        <w:lastRenderedPageBreak/>
        <w:t>dhe   respektimin   e   parimit   të   barazisë   dhe mosdiskriminimit në lidhje me racën, etninë, ngjyrën, gjuhën, shtetësinë, bindjet politike, fetare ose  filozofike,  gjendjen  ekonomike,  arsimore  ose  shoqërore,  gjininë,  identitetin gjinor, orientimin  seksual,  karakteristikat  e  seksit,  jetesën  me  HIV/AIDS,  shtatzëninë, përkatësinë   prindërore,  përgjegjësinë   prindërore,   moshën,   gjendjen   familjare   ose martesore,  gjendjen   civile,   vendbanimin,   gjendjen   shëndetësore,   predispozicionet gjenetike, pamjen e jashtme, aftësinë e kufizuar, përkatësinë në një grup të veçantë, ose me çdo shkak tjetër</w:t>
      </w:r>
      <w:r w:rsidRPr="004A2C73">
        <w:t>” (neni 1). Diskriminimi përkufizohet si “çdo dallim, përjashtim, kufizim apo preferencë, bazuar në cilindo shkak të përmendur në nenin 1 të këtij ligji, që ka si qëllim apo pasojë pengesën apo bërjen të pamundur të ushtrimit në të njëjtën mënyrë me të tjerët, të të drejtave e lirive themelore të njohura nga Kushtetuta e Republikës së Shqipërisë, a</w:t>
      </w:r>
      <w:r w:rsidRPr="004A2C73">
        <w:rPr>
          <w:rFonts w:eastAsia="Times New Roman"/>
          <w:spacing w:val="-2"/>
          <w:lang w:val="en-US" w:eastAsia="en-US"/>
        </w:rPr>
        <w:t>ktet ndërkombëtare të ratifikuara nga Republika e Shqipërisë, si dhe nga ligjet në fuqi.</w:t>
      </w:r>
      <w:r w:rsidRPr="004A2C73">
        <w:t>” (neni 3). Ligji përcakton gjithashtu strukturën kombëtare për mbrojtjen nga diskriminimi, që është K</w:t>
      </w:r>
      <w:r>
        <w:t xml:space="preserve">omisioneri për </w:t>
      </w:r>
      <w:r w:rsidRPr="004A2C73">
        <w:t>M</w:t>
      </w:r>
      <w:r>
        <w:t xml:space="preserve">brojtjen nga </w:t>
      </w:r>
      <w:r w:rsidRPr="004A2C73">
        <w:t>D</w:t>
      </w:r>
      <w:r>
        <w:t>iskriminimi</w:t>
      </w:r>
      <w:r w:rsidRPr="004A2C73">
        <w:t xml:space="preserve">. </w:t>
      </w:r>
      <w:r w:rsidR="00296849">
        <w:t xml:space="preserve">Në përmirësimet që iu bënë këtij Ligji me </w:t>
      </w:r>
      <w:r w:rsidR="00296849" w:rsidRPr="00F8238B">
        <w:rPr>
          <w:b/>
          <w:bCs/>
        </w:rPr>
        <w:t>Ligjin 124/2020 “Për disa shtesa dhe ndryshime në Ligjin Nr.221/04.02.2010 për mbrojtjen nga diskriminimi”</w:t>
      </w:r>
      <w:r w:rsidR="00296849">
        <w:t>, ndër të tjera saktësohet më tej objekti i këtij ligji, shtohen përkufizimet, duke theksuar gjuhën e urrejtjes, jepet përkufizim për format e rënda të diskriminimit, etj.</w:t>
      </w:r>
    </w:p>
    <w:p w:rsidR="006F2686" w:rsidRDefault="006F2686" w:rsidP="00EB00B9">
      <w:pPr>
        <w:shd w:val="clear" w:color="auto" w:fill="FFFFFF"/>
        <w:jc w:val="both"/>
        <w:rPr>
          <w:rFonts w:eastAsia="Times New Roman"/>
          <w:b/>
          <w:bCs/>
          <w:color w:val="222222"/>
          <w:lang w:eastAsia="en-US"/>
        </w:rPr>
      </w:pPr>
    </w:p>
    <w:p w:rsidR="00E262B6" w:rsidRDefault="00E262B6" w:rsidP="00E262B6">
      <w:pPr>
        <w:shd w:val="clear" w:color="auto" w:fill="FFFFFF"/>
        <w:jc w:val="both"/>
      </w:pPr>
      <w:r w:rsidRPr="004A2C73">
        <w:rPr>
          <w:rFonts w:eastAsia="Times New Roman"/>
          <w:b/>
          <w:bCs/>
          <w:color w:val="222222"/>
          <w:lang w:eastAsia="en-US"/>
        </w:rPr>
        <w:t>Ligji nr. 10, datë 01.02.2021 “Për Azilin në Republikën e Shqipërisë”.</w:t>
      </w:r>
      <w:r>
        <w:rPr>
          <w:rFonts w:eastAsia="Times New Roman"/>
          <w:b/>
          <w:bCs/>
          <w:color w:val="222222"/>
          <w:lang w:eastAsia="en-US"/>
        </w:rPr>
        <w:t xml:space="preserve"> </w:t>
      </w:r>
      <w:r w:rsidRPr="004A2C73">
        <w:t>Në përkufizimin e refugjatëve, Ligji për Azilin përmban edhe kategorinë e “një personi që i përket kategorisë së veçantë”, duke e konsideruar këtë si bazë për dhënien e statusit të refugjatit atyre që kanë qenë subjekt i torturës, përdhunimit apo ndonjë forme tjetër të dhunës psikologjike, fizike apo seksuale për shkak se janë persona LGBTI</w:t>
      </w:r>
      <w:r>
        <w:t>+</w:t>
      </w:r>
      <w:r w:rsidRPr="004A2C73">
        <w:t xml:space="preserve"> (Neni 3</w:t>
      </w:r>
      <w:r>
        <w:t>, pika 25</w:t>
      </w:r>
      <w:r w:rsidRPr="004A2C73">
        <w:t xml:space="preserve">). </w:t>
      </w:r>
    </w:p>
    <w:p w:rsidR="00E262B6" w:rsidRDefault="00E262B6" w:rsidP="00EB00B9">
      <w:pPr>
        <w:shd w:val="clear" w:color="auto" w:fill="FFFFFF"/>
        <w:jc w:val="both"/>
        <w:rPr>
          <w:rFonts w:eastAsia="Times New Roman"/>
          <w:b/>
          <w:bCs/>
          <w:color w:val="222222"/>
          <w:lang w:eastAsia="en-US"/>
        </w:rPr>
      </w:pPr>
    </w:p>
    <w:p w:rsidR="00E262B6" w:rsidRDefault="00BE619D" w:rsidP="00BE619D">
      <w:pPr>
        <w:shd w:val="clear" w:color="auto" w:fill="FFFFFF"/>
        <w:jc w:val="both"/>
        <w:rPr>
          <w:rFonts w:eastAsia="Times New Roman"/>
          <w:b/>
          <w:bCs/>
          <w:color w:val="222222"/>
          <w:lang w:eastAsia="en-US"/>
        </w:rPr>
      </w:pPr>
      <w:r w:rsidRPr="004A2C73">
        <w:rPr>
          <w:rFonts w:eastAsia="Times New Roman"/>
          <w:b/>
          <w:bCs/>
          <w:color w:val="222222"/>
          <w:lang w:eastAsia="en-US"/>
        </w:rPr>
        <w:t>Ligji nr.10129, datë 11.5.2009, “Për Gjendjen Civile”, i ndryshuar</w:t>
      </w:r>
      <w:r w:rsidRPr="004A2C73">
        <w:rPr>
          <w:rFonts w:eastAsia="Times New Roman"/>
          <w:color w:val="222222"/>
          <w:lang w:eastAsia="en-US"/>
        </w:rPr>
        <w:t>. </w:t>
      </w:r>
      <w:r w:rsidRPr="004A2C73">
        <w:t>Ligji për Gjendjen Civile, i ndryshuar në vitin 2020, ka si objekt kuptimin dhe përbërësit e gjendjes civile të shtetasve shqiptarë, shtetasve të huaj dhe të personave pa shtetësi, me banim të përkohshëm/të përhershëm në Republikën e Shqipërisë dhe përcaktimin e rregullave për hedhjen, ruajtjen dhe ndryshimin e tyre, si dhe organizimi</w:t>
      </w:r>
      <w:r>
        <w:t>n</w:t>
      </w:r>
      <w:r w:rsidRPr="004A2C73">
        <w:t xml:space="preserve"> e funksionimi</w:t>
      </w:r>
      <w:r>
        <w:t>n e</w:t>
      </w:r>
      <w:r w:rsidRPr="004A2C73">
        <w:t xml:space="preserve"> shërbimit të gjendjes civile në Republikën e Shqipërisë. Në parim ky ligj e lejon ndryshimin e shënimit të gjinisë dhe të emrit në dokumentet zyrtare të gjendjes civile. Ligji parashikon se emrat mund të ndryshohen nëse kanë kuptim të papërshtatshëm (neni 2), si dhe në rastin kur ka gabime materiale në regjistër (neni 57/7). Ndryshimi duhet të certifikohet me anë të një akti juridik lëshuar nga një ent ligjor që është përgjegjës për këto akte (neni 9). Si emri ashtu edhe shënimi i gjinisë ndryshohet me vendim gjykate. Ndryshimi i emrit mbështetet në faktin se emri është i papërshtatshëm, ndërsa ndryshimi i shënimit të gjinisë bazohet në faktin se gjinia/seksi i personit është ndryshuar, që provohet me vërtetim nga mjeku. Shënimi i gjinisë nuk mund të ndryshohet me vetëdeklarim. Personi duhet të jetë në zotërim të një vendimi gjykate për të kërkuar njohjen zyrtare të emrit të ndryshuar dhe të gjinisë së ricaktuar. Ndryshimet pasqyrohen në Regjistrin Kombëtar të Gjendjes Civile (neni 57/10).</w:t>
      </w:r>
    </w:p>
    <w:p w:rsidR="00BE619D" w:rsidRDefault="00BE619D" w:rsidP="00EB00B9">
      <w:pPr>
        <w:shd w:val="clear" w:color="auto" w:fill="FFFFFF"/>
        <w:jc w:val="both"/>
        <w:rPr>
          <w:rFonts w:eastAsia="Times New Roman"/>
          <w:b/>
          <w:bCs/>
          <w:color w:val="222222"/>
          <w:lang w:eastAsia="en-US"/>
        </w:rPr>
      </w:pPr>
    </w:p>
    <w:p w:rsidR="00F162AB" w:rsidRPr="004A2C73" w:rsidRDefault="00F162AB" w:rsidP="00F162AB">
      <w:pPr>
        <w:shd w:val="clear" w:color="auto" w:fill="FFFFFF"/>
        <w:jc w:val="both"/>
      </w:pPr>
      <w:r w:rsidRPr="004A2C73">
        <w:rPr>
          <w:rFonts w:eastAsia="Times New Roman"/>
          <w:b/>
          <w:bCs/>
          <w:color w:val="222222"/>
          <w:lang w:eastAsia="en-US"/>
        </w:rPr>
        <w:t>Ligji nr. 22, datë 03.05.2018 “Për Strehimin Social”.</w:t>
      </w:r>
      <w:r>
        <w:rPr>
          <w:rFonts w:eastAsia="Times New Roman"/>
          <w:b/>
          <w:bCs/>
          <w:color w:val="222222"/>
          <w:lang w:eastAsia="en-US"/>
        </w:rPr>
        <w:t xml:space="preserve"> </w:t>
      </w:r>
      <w:r w:rsidR="00B46C51">
        <w:t>T</w:t>
      </w:r>
      <w:r w:rsidRPr="004A2C73">
        <w:t>ë drejtat që burojnë nga ky ligj i garantohen pa asnjë lloj diskriminimi çdo individi, pavarësisht nga gjinia, raca, ngjyra, feja, etnia, gjuha, identiteti gjinor, orientimi seksual, bindjet politike, fetare ose filozofike, gjendja ekonomike, arsimore, sociale, shtatzënia, përkatësia ose/dhe përgjegjësia prindërore, gjendja familjare ose martesore, gjendja civile, gjendja shëndetësore, predispozicionet gjenetike, aftësia e kufizuar, përkatësia në një grup të veçantë dhe çdo gjendj</w:t>
      </w:r>
      <w:r w:rsidR="007836FD">
        <w:t>e që sjell pasoja diskriminuese</w:t>
      </w:r>
      <w:r w:rsidRPr="004A2C73">
        <w:t>” (Neni 10).</w:t>
      </w:r>
      <w:r w:rsidR="00B46C51">
        <w:t xml:space="preserve"> </w:t>
      </w:r>
      <w:r w:rsidRPr="004A2C73">
        <w:t>Gjithashtu ky ligj përmban në Nenin 16 si kriter të përzgjedhjes së përfituesve “xv) individët që i përkasin komunitetit LGBTI</w:t>
      </w:r>
      <w:r w:rsidR="00B46C51">
        <w:t>+</w:t>
      </w:r>
      <w:r w:rsidRPr="004A2C73">
        <w:t xml:space="preserve">, të cilët janë viktima për shkak të orientimit seksual ose identitetit gjinor bazuar në vendimin e organit kompetent, sipas </w:t>
      </w:r>
      <w:r w:rsidRPr="004A2C73">
        <w:lastRenderedPageBreak/>
        <w:t>legjislacionit në fuqi për mbrojtjen nga diskriminimi që përcakton se si pasojë e diskriminimit individi nuk ka një strehim të përshtatshëm</w:t>
      </w:r>
      <w:r w:rsidR="00B46C51">
        <w:t>, si dhe individëve të cilët</w:t>
      </w:r>
      <w:r w:rsidRPr="004A2C73">
        <w:t xml:space="preserve"> kanë të ardhura të pamjaftueshme ose që nuk kanë fare të ardhura, sipas përcaktimeve të bëra në nenin 3 të këtij ligji” duke garantuar </w:t>
      </w:r>
      <w:r w:rsidR="00B46C51">
        <w:t xml:space="preserve">kështu </w:t>
      </w:r>
      <w:r w:rsidRPr="004A2C73">
        <w:t>mbrojtje të veçantë për personat LGBTI</w:t>
      </w:r>
      <w:r w:rsidR="00B46C51">
        <w:t>+</w:t>
      </w:r>
      <w:r w:rsidRPr="004A2C73">
        <w:t>. Në lidhje me subvencionimin e qirave si instrument i programit të banesave sociale me qira, individët që i përkasin komunitetit LGBTI</w:t>
      </w:r>
      <w:r w:rsidR="00B46C51">
        <w:t>+</w:t>
      </w:r>
      <w:r w:rsidRPr="004A2C73">
        <w:t>, të cilët janë viktima për shkak të orientimit seksual ose identitetit gjinor dhe përmbushin kriteret ligjore</w:t>
      </w:r>
      <w:r w:rsidR="00B46C51">
        <w:t>,</w:t>
      </w:r>
      <w:r w:rsidRPr="004A2C73">
        <w:t xml:space="preserve"> do të kenë përparësi në subvencionimin e qirasë sipas sistemit të pikëzimit.</w:t>
      </w:r>
    </w:p>
    <w:p w:rsidR="006F2686" w:rsidRDefault="006F2686" w:rsidP="00EB00B9">
      <w:pPr>
        <w:shd w:val="clear" w:color="auto" w:fill="FFFFFF"/>
        <w:jc w:val="both"/>
        <w:rPr>
          <w:rFonts w:eastAsia="Times New Roman"/>
          <w:b/>
          <w:bCs/>
          <w:color w:val="222222"/>
          <w:lang w:eastAsia="en-US"/>
        </w:rPr>
      </w:pPr>
    </w:p>
    <w:p w:rsidR="003A419D" w:rsidRPr="004A2C73" w:rsidRDefault="003A419D" w:rsidP="003A419D">
      <w:pPr>
        <w:shd w:val="clear" w:color="auto" w:fill="FFFFFF"/>
        <w:jc w:val="both"/>
      </w:pPr>
      <w:r w:rsidRPr="004A2C73">
        <w:rPr>
          <w:rFonts w:eastAsia="Times New Roman"/>
          <w:b/>
          <w:bCs/>
          <w:color w:val="222222"/>
          <w:lang w:eastAsia="en-US"/>
        </w:rPr>
        <w:t>Ligji nr. 111, datë 14.12-2017 “Për Ndihmën Juridike të Garantuar nga Shteti”.</w:t>
      </w:r>
      <w:r w:rsidR="00850B51">
        <w:t xml:space="preserve"> Ky ligj </w:t>
      </w:r>
      <w:r w:rsidRPr="004A2C73">
        <w:t>ka si qëllim të tij të krijojë një sistem për organizimin dhe ofrimin e ndihmës juridike falas për të siguruar akses të barabartë të të gjithë individëve në sistemin e drejtësisë, të sigurojë mirorganizimin, miradministrimin dhe mirëfunksionimin e institucioneve shtetërore përgjegjëse për administrimin e ndihmës juridike dhe  të sigurojë ofrimin e shërbimeve të ndihmës juridike në mënyrë profesionale, cilësore, efiçente dhe efektive.</w:t>
      </w:r>
      <w:r w:rsidR="00850B51">
        <w:t xml:space="preserve"> </w:t>
      </w:r>
      <w:r w:rsidRPr="004A2C73">
        <w:t>Drejtoria e Ndihmës Juridike Falas është organ përgjegjës për ofrimin e ndihmës juridike, krahas Ministrisë së Drejtësisë, Dhomës Kombëtare të Avokatisë dhe Gjykatave kompetente. Në lidhje me kategoritë e përfituesve të ndihmës juridike ligji nuk ka bërë asnjë parashikim të shprehur për personat LGBTI</w:t>
      </w:r>
      <w:r w:rsidR="00850B51">
        <w:t>+</w:t>
      </w:r>
      <w:r w:rsidRPr="004A2C73">
        <w:t xml:space="preserve"> </w:t>
      </w:r>
      <w:r w:rsidR="00850B51">
        <w:t>t</w:t>
      </w:r>
      <w:r w:rsidRPr="004A2C73">
        <w:t>ë</w:t>
      </w:r>
      <w:r w:rsidR="00850B51">
        <w:t xml:space="preserve"> cilët</w:t>
      </w:r>
      <w:r w:rsidRPr="004A2C73">
        <w:t xml:space="preserve"> janë viktima të dhunës n</w:t>
      </w:r>
      <w:r w:rsidR="00850B51">
        <w:t>ë</w:t>
      </w:r>
      <w:r w:rsidRPr="004A2C73">
        <w:t xml:space="preserve"> familje, të abuzuar seksualisht dhe viktima të trafikimit të qenieve njerëzore</w:t>
      </w:r>
      <w:r>
        <w:t>,</w:t>
      </w:r>
      <w:r w:rsidRPr="004A2C73">
        <w:t xml:space="preserve"> etj. </w:t>
      </w:r>
      <w:r w:rsidRPr="004372A8">
        <w:t>P</w:t>
      </w:r>
      <w:r w:rsidRPr="004A2C73">
        <w:t>or</w:t>
      </w:r>
      <w:r>
        <w:t>,</w:t>
      </w:r>
      <w:r w:rsidRPr="004A2C73">
        <w:t xml:space="preserve"> në paragrafin </w:t>
      </w:r>
      <w:r w:rsidRPr="004A2C73">
        <w:rPr>
          <w:i/>
          <w:iCs/>
        </w:rPr>
        <w:t>h</w:t>
      </w:r>
      <w:r w:rsidRPr="004A2C73">
        <w:t xml:space="preserve"> të Nenit 11 “personave, të cilëve u është cënuar e drejta nëpërmjet një veprimi ose mosveprimi që përbën diskriminim, bazuar në vendimin e organit kompetent, sipas legjislacionit në fuqi për mbrojtjen nga diskriminimi” gjejnë mbrojtje dhe personat që i përkasin komunitetit LGBTI</w:t>
      </w:r>
      <w:r w:rsidR="00850B51">
        <w:t>+</w:t>
      </w:r>
      <w:r w:rsidRPr="004A2C73">
        <w:t xml:space="preserve"> në rastet e diskriminimit sipas legjislacionit në fuqi. </w:t>
      </w:r>
    </w:p>
    <w:p w:rsidR="003A419D" w:rsidRDefault="003A419D" w:rsidP="00EB00B9">
      <w:pPr>
        <w:shd w:val="clear" w:color="auto" w:fill="FFFFFF"/>
        <w:jc w:val="both"/>
        <w:rPr>
          <w:rFonts w:eastAsia="Times New Roman"/>
          <w:b/>
          <w:bCs/>
          <w:color w:val="222222"/>
          <w:lang w:eastAsia="en-US"/>
        </w:rPr>
      </w:pPr>
    </w:p>
    <w:p w:rsidR="00850B51" w:rsidRPr="004A2C73" w:rsidRDefault="00850B51" w:rsidP="00850B51">
      <w:pPr>
        <w:shd w:val="clear" w:color="auto" w:fill="FFFFFF"/>
        <w:jc w:val="both"/>
      </w:pPr>
      <w:r w:rsidRPr="004A2C73">
        <w:rPr>
          <w:rFonts w:eastAsia="Times New Roman"/>
          <w:b/>
          <w:bCs/>
          <w:color w:val="222222"/>
          <w:lang w:eastAsia="en-US"/>
        </w:rPr>
        <w:t xml:space="preserve">Ligji nr. 7961, datë 12.07.1995 “Kodi i Punës </w:t>
      </w:r>
      <w:r>
        <w:rPr>
          <w:rFonts w:eastAsia="Times New Roman"/>
          <w:b/>
          <w:bCs/>
          <w:color w:val="222222"/>
          <w:lang w:eastAsia="en-US"/>
        </w:rPr>
        <w:t>i</w:t>
      </w:r>
      <w:r w:rsidRPr="004A2C73">
        <w:rPr>
          <w:rFonts w:eastAsia="Times New Roman"/>
          <w:b/>
          <w:bCs/>
          <w:color w:val="222222"/>
          <w:lang w:eastAsia="en-US"/>
        </w:rPr>
        <w:t xml:space="preserve"> Republikës së Shqipërisë”, i ndryshuar.</w:t>
      </w:r>
      <w:r>
        <w:t xml:space="preserve"> </w:t>
      </w:r>
      <w:r w:rsidRPr="004A2C73">
        <w:t>Kodi i Punës ndalon diskriminimin në punësim dhe profesion për shkak të OSIG</w:t>
      </w:r>
      <w:r>
        <w:t>J</w:t>
      </w:r>
      <w:r w:rsidRPr="004A2C73">
        <w:t>, duke e përkufizuar diskriminimin si çdo dallim, përjashtim, kufizim ose parapëlqim që ka si qëllim ose pasojë të pengojë ose të bëjë të pamundur ushtrimin e së drejtës për punësim dhe profesion, në të njëjtën mënyrë me të tjerë (neni 9). Ngacmimet morale</w:t>
      </w:r>
      <w:r>
        <w:t xml:space="preserve">, </w:t>
      </w:r>
      <w:r w:rsidRPr="004A2C73">
        <w:t>seksuale dhe komentet poshtëruese që cenojnë dinjitetin dhe personalitetin e punonjësve janë të ndaluara (neni 32). Në rastin e diskriminimit për arsye të OSIG</w:t>
      </w:r>
      <w:r w:rsidR="00F47437">
        <w:t>J</w:t>
      </w:r>
      <w:r w:rsidRPr="004A2C73">
        <w:t>, punëdhënësi detyrohet të provojë se nuk ka bërë shkelje të parimit të trajtimit të barabartë, dhe në rastin e ngacmimit seksual, ligji e kalon barrën e provës tek punëdhënësi ose personi që pretendohet të ketë bërë ngacmimin. L</w:t>
      </w:r>
      <w:r w:rsidR="00F47437">
        <w:t xml:space="preserve">igji për </w:t>
      </w:r>
      <w:r w:rsidRPr="004A2C73">
        <w:t>M</w:t>
      </w:r>
      <w:r w:rsidR="00F47437">
        <w:t xml:space="preserve">brojtjen nga </w:t>
      </w:r>
      <w:r w:rsidRPr="004A2C73">
        <w:t>D</w:t>
      </w:r>
      <w:r w:rsidR="00F47437">
        <w:t>iskriminimi</w:t>
      </w:r>
      <w:r w:rsidRPr="004A2C73">
        <w:t xml:space="preserve"> dhe Kodi i Punës përbëjnë bazën ligjore për mbrojtjen e personave LGBTI</w:t>
      </w:r>
      <w:r w:rsidR="00F47437">
        <w:t>+</w:t>
      </w:r>
      <w:r w:rsidRPr="004A2C73">
        <w:t xml:space="preserve"> në fushën e punësimit. Ligjet ndalojnë diskriminimin në punësim për shkak të përkatësisë OSIG</w:t>
      </w:r>
      <w:r w:rsidR="00F47437">
        <w:t>J</w:t>
      </w:r>
      <w:r w:rsidRPr="004A2C73">
        <w:t xml:space="preserve"> apo në një pakicë seksuale, përfshirë edhe lajmërimet për vende pune, proceset e përzgjedhjes dhe të rekrutimit, trajnimin e punonjësve në vendin e punës dhe ndërprerjen e kontratës. </w:t>
      </w:r>
    </w:p>
    <w:p w:rsidR="00EB00B9" w:rsidRPr="004A2C73" w:rsidRDefault="00EB00B9" w:rsidP="00EB00B9">
      <w:pPr>
        <w:shd w:val="clear" w:color="auto" w:fill="FFFFFF"/>
        <w:jc w:val="both"/>
      </w:pPr>
    </w:p>
    <w:p w:rsidR="00EB00B9" w:rsidRPr="004A2C73" w:rsidRDefault="00EB00B9" w:rsidP="00EB00B9">
      <w:pPr>
        <w:shd w:val="clear" w:color="auto" w:fill="FFFFFF"/>
        <w:jc w:val="both"/>
      </w:pPr>
      <w:r w:rsidRPr="004A2C73">
        <w:rPr>
          <w:rFonts w:eastAsia="Times New Roman"/>
          <w:b/>
          <w:bCs/>
          <w:color w:val="222222"/>
          <w:lang w:eastAsia="en-US"/>
        </w:rPr>
        <w:t>Ligji nr. 7895, datë 27.01.1995 “Kodi Penal i Republikës së Shqipërisë”, i ndryshuar.</w:t>
      </w:r>
      <w:r w:rsidR="00BE619D">
        <w:t xml:space="preserve"> </w:t>
      </w:r>
      <w:r w:rsidR="00811EB5" w:rsidRPr="004A2C73">
        <w:t xml:space="preserve">Pas ndyshimeve të </w:t>
      </w:r>
      <w:r w:rsidRPr="004A2C73">
        <w:t>Kodi</w:t>
      </w:r>
      <w:r w:rsidR="00811EB5" w:rsidRPr="004A2C73">
        <w:t>t</w:t>
      </w:r>
      <w:r w:rsidRPr="004A2C73">
        <w:t xml:space="preserve"> Penal</w:t>
      </w:r>
      <w:r w:rsidR="00811EB5" w:rsidRPr="004A2C73">
        <w:t xml:space="preserve"> në vitin</w:t>
      </w:r>
      <w:r w:rsidRPr="004A2C73">
        <w:t xml:space="preserve"> 2013 </w:t>
      </w:r>
      <w:r w:rsidR="00811EB5" w:rsidRPr="004A2C73">
        <w:t xml:space="preserve">marrëdhëniet me persona të të njëjtit seks </w:t>
      </w:r>
      <w:r w:rsidR="00942924" w:rsidRPr="004A2C73">
        <w:t>u dekriminalizua</w:t>
      </w:r>
      <w:r w:rsidR="00BE619D">
        <w:t>n</w:t>
      </w:r>
      <w:r w:rsidR="00942924" w:rsidRPr="004A2C73">
        <w:t xml:space="preserve"> </w:t>
      </w:r>
      <w:r w:rsidRPr="004A2C73">
        <w:t>dhe k</w:t>
      </w:r>
      <w:r w:rsidR="00F33F19" w:rsidRPr="004A2C73">
        <w:t>r</w:t>
      </w:r>
      <w:r w:rsidRPr="004A2C73">
        <w:t>yrej</w:t>
      </w:r>
      <w:r w:rsidR="00942924" w:rsidRPr="004A2C73">
        <w:t>a</w:t>
      </w:r>
      <w:r w:rsidRPr="004A2C73">
        <w:t xml:space="preserve"> e krimeve me motive OSIG</w:t>
      </w:r>
      <w:r w:rsidR="00BE619D">
        <w:t>J</w:t>
      </w:r>
      <w:r w:rsidRPr="004A2C73">
        <w:t xml:space="preserve">-të </w:t>
      </w:r>
      <w:r w:rsidR="00942924" w:rsidRPr="004A2C73">
        <w:t xml:space="preserve">jepet </w:t>
      </w:r>
      <w:r w:rsidRPr="004A2C73">
        <w:t>si rrethan</w:t>
      </w:r>
      <w:r w:rsidR="00942924" w:rsidRPr="004A2C73">
        <w:t>ë</w:t>
      </w:r>
      <w:r w:rsidRPr="004A2C73">
        <w:t xml:space="preserve"> rënduese </w:t>
      </w:r>
      <w:r w:rsidR="00942924" w:rsidRPr="004A2C73">
        <w:t xml:space="preserve">në </w:t>
      </w:r>
      <w:r w:rsidRPr="004A2C73">
        <w:t>neni</w:t>
      </w:r>
      <w:r w:rsidR="00942924" w:rsidRPr="004A2C73">
        <w:t>n</w:t>
      </w:r>
      <w:r w:rsidRPr="004A2C73">
        <w:t xml:space="preserve"> 50</w:t>
      </w:r>
      <w:r w:rsidR="00BE619D">
        <w:t xml:space="preserve">, pika </w:t>
      </w:r>
      <w:r w:rsidRPr="004A2C73">
        <w:t>j</w:t>
      </w:r>
      <w:r w:rsidR="00811EB5" w:rsidRPr="004A2C73">
        <w:t>.</w:t>
      </w:r>
      <w:r w:rsidR="00942924" w:rsidRPr="004A2C73">
        <w:t xml:space="preserve"> </w:t>
      </w:r>
      <w:r w:rsidRPr="004A2C73">
        <w:t xml:space="preserve">Kodi Penal kriminalizon gjuhën e urrejtjes për shkaqe të orientimit seksual (neni 265). </w:t>
      </w:r>
      <w:r w:rsidR="00F33F19" w:rsidRPr="004A2C73">
        <w:t xml:space="preserve">Gjithashtu </w:t>
      </w:r>
      <w:r w:rsidRPr="004A2C73">
        <w:t>Kodi ndalon diskriminimin e personave nga ana e punonjësit me funksion shtetëror për arsye të OSIG</w:t>
      </w:r>
      <w:r w:rsidR="00BE619D">
        <w:t>J</w:t>
      </w:r>
      <w:r w:rsidRPr="004A2C73">
        <w:t xml:space="preserve"> (neni 253). Marrëdhëniet homoseksuale me dhunë me të rritur (meshkuj) dënohet me burgim nga tre deri në shtatë vjet (neni 102/a)</w:t>
      </w:r>
      <w:r w:rsidR="00F33F19" w:rsidRPr="004A2C73">
        <w:t xml:space="preserve">. </w:t>
      </w:r>
      <w:r w:rsidRPr="004A2C73">
        <w:t xml:space="preserve">Marrëdhëniet seksuale dhe homoseksuale me dhunë nga eprorët apo punonjës të tjerë duke shpërdoruar detyrën, dënohen me burgim deri në tre vjet (neni 105), ndërsa me kërcënim për përdorimin e armës, me burgim deri në pesëmbëdhjetë vjet (neni 104). Ngacmimi seksual dhe sjellja </w:t>
      </w:r>
      <w:r w:rsidRPr="004A2C73">
        <w:lastRenderedPageBreak/>
        <w:t xml:space="preserve">seksuale që cenojnë dinjitetin personal të një personi, duke krijuar një mjedis armiqësor dhe degradues, dënohet me burgim deri në shtatë vjet (neni 108). Për sa i përket ndërhyrjeve të panevojshme mjekësore në personat interseks, Kodi Penal nuk përmban asnjë dispozitë, sepse kjo çështje trajtohet nga </w:t>
      </w:r>
      <w:r w:rsidRPr="004A2C73">
        <w:rPr>
          <w:rFonts w:eastAsia="Times New Roman"/>
          <w:color w:val="222222"/>
          <w:lang w:eastAsia="en-US"/>
        </w:rPr>
        <w:t>Ligji nr. 10107, datë 30.03.2009 “Për Kujdesin Shëndetësor në Republikën e Shqipërisë”, i ndryshuar</w:t>
      </w:r>
      <w:r w:rsidR="00DA312D" w:rsidRPr="004A2C73">
        <w:rPr>
          <w:rFonts w:eastAsia="Times New Roman"/>
          <w:color w:val="222222"/>
          <w:lang w:eastAsia="en-US"/>
        </w:rPr>
        <w:t>,</w:t>
      </w:r>
      <w:r w:rsidRPr="004A2C73">
        <w:rPr>
          <w:rFonts w:eastAsia="Times New Roman"/>
          <w:color w:val="222222"/>
          <w:lang w:eastAsia="en-US"/>
        </w:rPr>
        <w:t xml:space="preserve"> </w:t>
      </w:r>
      <w:r w:rsidRPr="004A2C73">
        <w:t xml:space="preserve">dhe </w:t>
      </w:r>
      <w:r w:rsidRPr="004A2C73">
        <w:rPr>
          <w:rFonts w:eastAsia="Times New Roman"/>
          <w:color w:val="222222"/>
          <w:lang w:eastAsia="en-US"/>
        </w:rPr>
        <w:t xml:space="preserve">Ligji nr. 8876, datë 04.04.2002 “Për Shëndetin Riprodhues”, i ndryshuar, </w:t>
      </w:r>
      <w:r w:rsidRPr="004A2C73">
        <w:t>që ndalojnë çdo ndërhyrje pa pëlqimin paraprak të vetë personit, por pëlqimi në rastin e fëmijëve jepet nga prindërit ose kujdestarët e tyre ligjorë, sepse fëmijët janë të mitur dhe nuk kanë kapacitet ligjor.</w:t>
      </w:r>
    </w:p>
    <w:p w:rsidR="00BE619D" w:rsidRPr="004A2C73" w:rsidRDefault="00BE619D" w:rsidP="00EB00B9">
      <w:pPr>
        <w:shd w:val="clear" w:color="auto" w:fill="FFFFFF"/>
        <w:jc w:val="both"/>
        <w:rPr>
          <w:rFonts w:eastAsia="Times New Roman"/>
          <w:b/>
          <w:bCs/>
          <w:color w:val="222222"/>
          <w:lang w:eastAsia="en-US"/>
        </w:rPr>
      </w:pPr>
    </w:p>
    <w:p w:rsidR="00EB00B9" w:rsidRPr="004A2C73" w:rsidRDefault="00EB00B9" w:rsidP="00EB00B9">
      <w:pPr>
        <w:shd w:val="clear" w:color="auto" w:fill="FFFFFF"/>
        <w:jc w:val="both"/>
      </w:pPr>
      <w:r w:rsidRPr="004A2C73">
        <w:rPr>
          <w:rFonts w:eastAsia="Times New Roman"/>
          <w:b/>
          <w:bCs/>
          <w:color w:val="222222"/>
          <w:lang w:eastAsia="en-US"/>
        </w:rPr>
        <w:t>Ligji nr. 10107, datë 30.03.2009 “Për Kujdesin Shëndetësor në Republikën e Shqipërisë”, i ndryshuar.</w:t>
      </w:r>
      <w:r w:rsidR="00E87B53">
        <w:t xml:space="preserve"> </w:t>
      </w:r>
      <w:r w:rsidRPr="004A2C73">
        <w:t xml:space="preserve">E drejta për kujdes shëndetësor është e garantuar në Kushtetutë. Kujdesi shëndetësor publik është përgjegjësi themelore e qeverisë dhe Ligji për Kujdesin Shëndetësor garanton të drejtën e shëndetit për të gjithë. Spitalet, klinikat dhe institucione të tjera shëndetësore, publike apo private, janë të hapura për publikun e gjerë. I gjithë dokumentacioni legjislativ në fushën e kujdesit shëndetësor është </w:t>
      </w:r>
      <w:r w:rsidR="00E87B53">
        <w:t>i përgjithshëm</w:t>
      </w:r>
      <w:r w:rsidR="00E87B53" w:rsidRPr="004A2C73">
        <w:t xml:space="preserve"> </w:t>
      </w:r>
      <w:r w:rsidRPr="004A2C73">
        <w:t>dhe nuk përmend në veçanti OSIG</w:t>
      </w:r>
      <w:r w:rsidR="00E87B53">
        <w:t>J</w:t>
      </w:r>
      <w:r w:rsidRPr="004A2C73">
        <w:t>-të ose nevojat shëndetësore të personave LGBTI</w:t>
      </w:r>
      <w:r w:rsidR="00E87B53">
        <w:t>+</w:t>
      </w:r>
      <w:r w:rsidRPr="004A2C73">
        <w:t>. Duke qenë se baza ligjore parashikon kujdesin shëndetësor për të gjithë, personat LGBTI</w:t>
      </w:r>
      <w:r w:rsidR="00E87B53">
        <w:t>+</w:t>
      </w:r>
      <w:r w:rsidRPr="004A2C73">
        <w:t xml:space="preserve"> përfitojnë nga shërbimi shëndetësor mbi të njëjtat baza si qytetarët e tjerë. </w:t>
      </w:r>
    </w:p>
    <w:p w:rsidR="00EB00B9" w:rsidRPr="004A2C73" w:rsidRDefault="00EB00B9" w:rsidP="00EB00B9">
      <w:pPr>
        <w:shd w:val="clear" w:color="auto" w:fill="FFFFFF"/>
        <w:jc w:val="both"/>
        <w:rPr>
          <w:rFonts w:eastAsia="Times New Roman"/>
          <w:color w:val="222222"/>
          <w:lang w:eastAsia="en-US"/>
        </w:rPr>
      </w:pPr>
    </w:p>
    <w:p w:rsidR="00F33F19" w:rsidRPr="004A2C73" w:rsidRDefault="00F33F19" w:rsidP="00F33F19">
      <w:pPr>
        <w:shd w:val="clear" w:color="auto" w:fill="FFFFFF"/>
        <w:jc w:val="both"/>
      </w:pPr>
      <w:r w:rsidRPr="004A2C73">
        <w:rPr>
          <w:rFonts w:eastAsia="Times New Roman"/>
          <w:b/>
          <w:bCs/>
          <w:color w:val="222222"/>
          <w:lang w:eastAsia="en-US"/>
        </w:rPr>
        <w:t>Ligji nr. 44, datë 30.04.2015 “Kodi i Procedurave Administrative në Republikën e Shqipërisë”.</w:t>
      </w:r>
      <w:r w:rsidR="00E87B53">
        <w:t xml:space="preserve"> </w:t>
      </w:r>
      <w:r w:rsidRPr="004A2C73">
        <w:t>Kodi i rishikuar i Procedurave Administrative i vitit 2015 ndalon çdo lloj diskriminimi për shkak, ndër të tjera, të gjinisë dhe OSIG</w:t>
      </w:r>
      <w:r w:rsidR="00E87B53">
        <w:t>J</w:t>
      </w:r>
      <w:r w:rsidRPr="004A2C73">
        <w:t>. Ky ligj siguron mbrojtjen efektive të të drejtave të personave LGBTI</w:t>
      </w:r>
      <w:r w:rsidR="00E87B53">
        <w:t>+</w:t>
      </w:r>
      <w:r w:rsidRPr="004A2C73">
        <w:t xml:space="preserve"> (neni 17). Për më tepër, në rastet e pretendimeve për diskriminim për shkak të OSIG</w:t>
      </w:r>
      <w:r w:rsidR="00E87B53">
        <w:t>J</w:t>
      </w:r>
      <w:r w:rsidRPr="004A2C73">
        <w:t>, ky ligj e kalon barrën e provës tek organi publik, siç parashikohet në L</w:t>
      </w:r>
      <w:r w:rsidR="00E87B53">
        <w:t xml:space="preserve">igjin për </w:t>
      </w:r>
      <w:r w:rsidRPr="004A2C73">
        <w:t>M</w:t>
      </w:r>
      <w:r w:rsidR="00E87B53">
        <w:t xml:space="preserve">brojtjen nga </w:t>
      </w:r>
      <w:r w:rsidRPr="004A2C73">
        <w:t>D</w:t>
      </w:r>
      <w:r w:rsidR="00E87B53">
        <w:t>iskriminimi</w:t>
      </w:r>
      <w:r w:rsidRPr="004A2C73">
        <w:t xml:space="preserve"> (neni 82).</w:t>
      </w:r>
    </w:p>
    <w:p w:rsidR="00F33F19" w:rsidRPr="004A2C73" w:rsidRDefault="00F33F19" w:rsidP="00F33F19">
      <w:pPr>
        <w:shd w:val="clear" w:color="auto" w:fill="FFFFFF"/>
        <w:jc w:val="both"/>
        <w:rPr>
          <w:rFonts w:eastAsia="Times New Roman"/>
          <w:color w:val="222222"/>
          <w:lang w:val="en-US" w:eastAsia="en-US"/>
        </w:rPr>
      </w:pPr>
    </w:p>
    <w:p w:rsidR="00F33F19" w:rsidRPr="007836FD" w:rsidRDefault="00F33F19" w:rsidP="00F33F19">
      <w:pPr>
        <w:shd w:val="clear" w:color="auto" w:fill="FFFFFF"/>
        <w:jc w:val="both"/>
        <w:rPr>
          <w:rFonts w:eastAsia="Times New Roman"/>
          <w:b/>
          <w:bCs/>
          <w:color w:val="222222"/>
          <w:lang w:eastAsia="en-US"/>
        </w:rPr>
      </w:pPr>
      <w:r w:rsidRPr="004A2C73">
        <w:rPr>
          <w:rFonts w:eastAsia="Times New Roman"/>
          <w:b/>
          <w:bCs/>
          <w:color w:val="222222"/>
          <w:lang w:eastAsia="en-US"/>
        </w:rPr>
        <w:t>Ligji nr. 69/2012, “Për Sistemin Arsimor</w:t>
      </w:r>
      <w:r w:rsidR="007836FD">
        <w:rPr>
          <w:rFonts w:eastAsia="Times New Roman"/>
          <w:b/>
          <w:bCs/>
          <w:color w:val="222222"/>
          <w:lang w:eastAsia="en-US"/>
        </w:rPr>
        <w:t xml:space="preserve"> Parauniversitar”, i ndryshuar. </w:t>
      </w:r>
      <w:r w:rsidRPr="004A2C73">
        <w:t>Ligji për Arsimin Parauniversitar i vitit 2012 ndalon diskriminimin për shkak të gjinisë dhe orientimit seksual (neni 5). Në Shqipëri, mbrojtja zyrtare në mjedisin shkollor garantohet nga dispozitat ligjore të L</w:t>
      </w:r>
      <w:r w:rsidR="00621D6C">
        <w:t xml:space="preserve">igjit për </w:t>
      </w:r>
      <w:r w:rsidRPr="004A2C73">
        <w:t>M</w:t>
      </w:r>
      <w:r w:rsidR="00621D6C">
        <w:t xml:space="preserve">brojtjen nga </w:t>
      </w:r>
      <w:r w:rsidRPr="004A2C73">
        <w:t>D</w:t>
      </w:r>
      <w:r w:rsidR="00621D6C">
        <w:t>iskriminimi</w:t>
      </w:r>
      <w:r w:rsidRPr="004A2C73">
        <w:t xml:space="preserve"> dhe të Ligjit për Arsimin Parauniversitar. </w:t>
      </w:r>
      <w:r w:rsidRPr="004A2C73">
        <w:rPr>
          <w:highlight w:val="cyan"/>
        </w:rPr>
        <w:t xml:space="preserve"> </w:t>
      </w:r>
    </w:p>
    <w:p w:rsidR="00F33F19" w:rsidRPr="004A2C73" w:rsidRDefault="00F33F19" w:rsidP="00F33F19">
      <w:pPr>
        <w:shd w:val="clear" w:color="auto" w:fill="FFFFFF"/>
        <w:jc w:val="both"/>
        <w:rPr>
          <w:rFonts w:eastAsia="Times New Roman"/>
          <w:color w:val="222222"/>
          <w:lang w:val="en-US" w:eastAsia="en-US"/>
        </w:rPr>
      </w:pPr>
    </w:p>
    <w:p w:rsidR="00832D90" w:rsidRDefault="00832D90" w:rsidP="004A2C73">
      <w:pPr>
        <w:shd w:val="clear" w:color="auto" w:fill="FFFFFF"/>
        <w:jc w:val="both"/>
      </w:pPr>
    </w:p>
    <w:p w:rsidR="00977718" w:rsidRPr="007836FD" w:rsidRDefault="007359C7" w:rsidP="00BF02E2">
      <w:pPr>
        <w:pStyle w:val="Heading3"/>
        <w:spacing w:before="0" w:after="0" w:line="276" w:lineRule="auto"/>
        <w:rPr>
          <w:rFonts w:ascii="Times New Roman" w:hAnsi="Times New Roman"/>
          <w:color w:val="FF00FF"/>
          <w:sz w:val="24"/>
          <w:szCs w:val="24"/>
        </w:rPr>
      </w:pPr>
      <w:bookmarkStart w:id="6" w:name="_Toc79509619"/>
      <w:r w:rsidRPr="007836FD">
        <w:rPr>
          <w:rFonts w:ascii="Times New Roman" w:hAnsi="Times New Roman"/>
          <w:color w:val="FF00FF"/>
          <w:sz w:val="24"/>
          <w:szCs w:val="24"/>
        </w:rPr>
        <w:t xml:space="preserve">2.2. </w:t>
      </w:r>
      <w:r w:rsidR="007A4CF0" w:rsidRPr="007836FD">
        <w:rPr>
          <w:rFonts w:ascii="Times New Roman" w:hAnsi="Times New Roman"/>
          <w:color w:val="FF00FF"/>
          <w:sz w:val="24"/>
          <w:szCs w:val="24"/>
        </w:rPr>
        <w:t>Kuadri institucional</w:t>
      </w:r>
      <w:bookmarkEnd w:id="6"/>
    </w:p>
    <w:p w:rsidR="00B21F74" w:rsidRDefault="00B21F74" w:rsidP="00183731">
      <w:pPr>
        <w:spacing w:line="276" w:lineRule="auto"/>
        <w:jc w:val="both"/>
        <w:rPr>
          <w:szCs w:val="22"/>
          <w:highlight w:val="yellow"/>
        </w:rPr>
      </w:pPr>
    </w:p>
    <w:p w:rsidR="00816678" w:rsidRDefault="00816678" w:rsidP="00183731">
      <w:pPr>
        <w:spacing w:line="276" w:lineRule="auto"/>
        <w:jc w:val="both"/>
        <w:rPr>
          <w:szCs w:val="22"/>
        </w:rPr>
      </w:pPr>
      <w:r w:rsidRPr="0005701D">
        <w:rPr>
          <w:b/>
          <w:szCs w:val="22"/>
        </w:rPr>
        <w:t>Komisioneri p</w:t>
      </w:r>
      <w:r w:rsidR="00C32AB7" w:rsidRPr="0005701D">
        <w:rPr>
          <w:b/>
          <w:szCs w:val="22"/>
        </w:rPr>
        <w:t>ë</w:t>
      </w:r>
      <w:r w:rsidRPr="0005701D">
        <w:rPr>
          <w:b/>
          <w:szCs w:val="22"/>
        </w:rPr>
        <w:t>r Mbrojtjen nga Diskriminimi</w:t>
      </w:r>
      <w:r>
        <w:rPr>
          <w:szCs w:val="22"/>
        </w:rPr>
        <w:t xml:space="preserve"> dhe </w:t>
      </w:r>
      <w:r w:rsidRPr="0005701D">
        <w:rPr>
          <w:b/>
          <w:szCs w:val="22"/>
        </w:rPr>
        <w:t>Avokati i Popullit</w:t>
      </w:r>
      <w:r>
        <w:rPr>
          <w:szCs w:val="22"/>
        </w:rPr>
        <w:t xml:space="preserve"> jan</w:t>
      </w:r>
      <w:r w:rsidR="00C32AB7">
        <w:rPr>
          <w:szCs w:val="22"/>
        </w:rPr>
        <w:t>ë</w:t>
      </w:r>
      <w:r>
        <w:rPr>
          <w:szCs w:val="22"/>
        </w:rPr>
        <w:t xml:space="preserve"> dy institucionet kryesore t</w:t>
      </w:r>
      <w:r w:rsidR="00C32AB7">
        <w:rPr>
          <w:szCs w:val="22"/>
        </w:rPr>
        <w:t>ë</w:t>
      </w:r>
      <w:r>
        <w:rPr>
          <w:szCs w:val="22"/>
        </w:rPr>
        <w:t xml:space="preserve"> pavarura t</w:t>
      </w:r>
      <w:r w:rsidR="00C32AB7">
        <w:rPr>
          <w:szCs w:val="22"/>
        </w:rPr>
        <w:t>ë</w:t>
      </w:r>
      <w:r>
        <w:rPr>
          <w:szCs w:val="22"/>
        </w:rPr>
        <w:t xml:space="preserve"> cilat nd</w:t>
      </w:r>
      <w:r w:rsidR="00C32AB7">
        <w:rPr>
          <w:szCs w:val="22"/>
        </w:rPr>
        <w:t>ë</w:t>
      </w:r>
      <w:r>
        <w:rPr>
          <w:szCs w:val="22"/>
        </w:rPr>
        <w:t>r t</w:t>
      </w:r>
      <w:r w:rsidR="00C32AB7">
        <w:rPr>
          <w:szCs w:val="22"/>
        </w:rPr>
        <w:t>ë</w:t>
      </w:r>
      <w:r>
        <w:rPr>
          <w:szCs w:val="22"/>
        </w:rPr>
        <w:t xml:space="preserve"> tjera kan</w:t>
      </w:r>
      <w:r w:rsidR="00C32AB7">
        <w:rPr>
          <w:szCs w:val="22"/>
        </w:rPr>
        <w:t>ë</w:t>
      </w:r>
      <w:r>
        <w:rPr>
          <w:szCs w:val="22"/>
        </w:rPr>
        <w:t xml:space="preserve"> p</w:t>
      </w:r>
      <w:r w:rsidR="00C32AB7">
        <w:rPr>
          <w:szCs w:val="22"/>
        </w:rPr>
        <w:t>ë</w:t>
      </w:r>
      <w:r>
        <w:rPr>
          <w:szCs w:val="22"/>
        </w:rPr>
        <w:t>rgjegj</w:t>
      </w:r>
      <w:r w:rsidR="00C32AB7">
        <w:rPr>
          <w:szCs w:val="22"/>
        </w:rPr>
        <w:t>ë</w:t>
      </w:r>
      <w:r>
        <w:rPr>
          <w:szCs w:val="22"/>
        </w:rPr>
        <w:t>si edhe adresimin n</w:t>
      </w:r>
      <w:r w:rsidR="00C32AB7">
        <w:rPr>
          <w:szCs w:val="22"/>
        </w:rPr>
        <w:t>ë</w:t>
      </w:r>
      <w:r>
        <w:rPr>
          <w:szCs w:val="22"/>
        </w:rPr>
        <w:t xml:space="preserve"> m</w:t>
      </w:r>
      <w:r w:rsidR="00C32AB7">
        <w:rPr>
          <w:szCs w:val="22"/>
        </w:rPr>
        <w:t>ë</w:t>
      </w:r>
      <w:r>
        <w:rPr>
          <w:szCs w:val="22"/>
        </w:rPr>
        <w:t>nyr</w:t>
      </w:r>
      <w:r w:rsidR="00C32AB7">
        <w:rPr>
          <w:szCs w:val="22"/>
        </w:rPr>
        <w:t>ë</w:t>
      </w:r>
      <w:r>
        <w:rPr>
          <w:szCs w:val="22"/>
        </w:rPr>
        <w:t>n e duhur t</w:t>
      </w:r>
      <w:r w:rsidR="00C32AB7">
        <w:rPr>
          <w:szCs w:val="22"/>
        </w:rPr>
        <w:t>ë</w:t>
      </w:r>
      <w:r>
        <w:rPr>
          <w:szCs w:val="22"/>
        </w:rPr>
        <w:t xml:space="preserve"> ç</w:t>
      </w:r>
      <w:r w:rsidR="00C32AB7">
        <w:rPr>
          <w:szCs w:val="22"/>
        </w:rPr>
        <w:t>ë</w:t>
      </w:r>
      <w:r>
        <w:rPr>
          <w:szCs w:val="22"/>
        </w:rPr>
        <w:t>shtjeve t</w:t>
      </w:r>
      <w:r w:rsidR="00C32AB7">
        <w:rPr>
          <w:szCs w:val="22"/>
        </w:rPr>
        <w:t>ë</w:t>
      </w:r>
      <w:r>
        <w:rPr>
          <w:szCs w:val="22"/>
        </w:rPr>
        <w:t xml:space="preserve"> personave LGBTI+ n</w:t>
      </w:r>
      <w:r w:rsidR="00C32AB7">
        <w:rPr>
          <w:szCs w:val="22"/>
        </w:rPr>
        <w:t>ë</w:t>
      </w:r>
      <w:r>
        <w:rPr>
          <w:szCs w:val="22"/>
        </w:rPr>
        <w:t xml:space="preserve"> Shqip</w:t>
      </w:r>
      <w:r w:rsidR="00C32AB7">
        <w:rPr>
          <w:szCs w:val="22"/>
        </w:rPr>
        <w:t>ë</w:t>
      </w:r>
      <w:r>
        <w:rPr>
          <w:szCs w:val="22"/>
        </w:rPr>
        <w:t xml:space="preserve">ri. </w:t>
      </w:r>
    </w:p>
    <w:p w:rsidR="00816678" w:rsidRDefault="00816678" w:rsidP="00183731">
      <w:pPr>
        <w:spacing w:line="276" w:lineRule="auto"/>
        <w:jc w:val="both"/>
        <w:rPr>
          <w:szCs w:val="22"/>
        </w:rPr>
      </w:pPr>
    </w:p>
    <w:p w:rsidR="00816678" w:rsidRDefault="00816678" w:rsidP="00816678">
      <w:pPr>
        <w:spacing w:line="276" w:lineRule="auto"/>
        <w:jc w:val="both"/>
      </w:pPr>
      <w:r>
        <w:rPr>
          <w:szCs w:val="22"/>
        </w:rPr>
        <w:t>N</w:t>
      </w:r>
      <w:r w:rsidR="00C32AB7">
        <w:rPr>
          <w:szCs w:val="22"/>
        </w:rPr>
        <w:t>ë</w:t>
      </w:r>
      <w:r>
        <w:rPr>
          <w:szCs w:val="22"/>
        </w:rPr>
        <w:t xml:space="preserve"> nivelin qendror, trajtimi i ç</w:t>
      </w:r>
      <w:r w:rsidR="00C32AB7">
        <w:rPr>
          <w:szCs w:val="22"/>
        </w:rPr>
        <w:t>ë</w:t>
      </w:r>
      <w:r>
        <w:rPr>
          <w:szCs w:val="22"/>
        </w:rPr>
        <w:t>shtjeve t</w:t>
      </w:r>
      <w:r w:rsidR="00C32AB7">
        <w:rPr>
          <w:szCs w:val="22"/>
        </w:rPr>
        <w:t>ë</w:t>
      </w:r>
      <w:r>
        <w:rPr>
          <w:szCs w:val="22"/>
        </w:rPr>
        <w:t xml:space="preserve"> personave LGBTI+ koordinohet n</w:t>
      </w:r>
      <w:r w:rsidR="00C32AB7">
        <w:rPr>
          <w:szCs w:val="22"/>
        </w:rPr>
        <w:t>ë</w:t>
      </w:r>
      <w:r>
        <w:rPr>
          <w:szCs w:val="22"/>
        </w:rPr>
        <w:t>p</w:t>
      </w:r>
      <w:r w:rsidR="00C32AB7">
        <w:rPr>
          <w:szCs w:val="22"/>
        </w:rPr>
        <w:t>ë</w:t>
      </w:r>
      <w:r>
        <w:rPr>
          <w:szCs w:val="22"/>
        </w:rPr>
        <w:t xml:space="preserve">rmjet </w:t>
      </w:r>
      <w:r w:rsidRPr="007A4CF0">
        <w:rPr>
          <w:b/>
        </w:rPr>
        <w:t>Ministrisë së Shëndetësisë dhe Mbrojtjes Sociale</w:t>
      </w:r>
      <w:r w:rsidRPr="007A4CF0">
        <w:t xml:space="preserve"> (MSHMS)</w:t>
      </w:r>
      <w:r>
        <w:t>, konkretisht n</w:t>
      </w:r>
      <w:r w:rsidR="00C32AB7">
        <w:t>ë</w:t>
      </w:r>
      <w:r>
        <w:t>p</w:t>
      </w:r>
      <w:r w:rsidR="00C32AB7">
        <w:t>ë</w:t>
      </w:r>
      <w:r>
        <w:t xml:space="preserve">rmjet </w:t>
      </w:r>
      <w:r w:rsidRPr="007A4CF0">
        <w:rPr>
          <w:b/>
        </w:rPr>
        <w:t>Sektorit të Politikave dhe Strategjive për Përfshirjen Sociale dhe Barazinë Gjinore,</w:t>
      </w:r>
      <w:r w:rsidRPr="007A4CF0">
        <w:t xml:space="preserve"> si pjesë e Drejtorisë së Përgjithshme të Politikave </w:t>
      </w:r>
      <w:r w:rsidRPr="00305D21">
        <w:rPr>
          <w:shd w:val="clear" w:color="auto" w:fill="FFFFFF"/>
        </w:rPr>
        <w:t>dhe Zhvillimit të Shëndetësisë dhe Mbrojtjes Sociale</w:t>
      </w:r>
      <w:r w:rsidRPr="007A4CF0">
        <w:t>.</w:t>
      </w:r>
      <w:r w:rsidR="00C32AB7">
        <w:t xml:space="preserve"> Kuptohet që përgjegjësinë për trajtimin e aspekteve të ndryshme të çështjeve të personave LGBTI+ në nivel qendror e kanë të gjitha ministritë e linjës, në varësi të misionit dhe fushës së tyre të veprimtarisë. </w:t>
      </w:r>
    </w:p>
    <w:p w:rsidR="00C32AB7" w:rsidRDefault="00C32AB7" w:rsidP="00816678">
      <w:pPr>
        <w:spacing w:line="276" w:lineRule="auto"/>
        <w:jc w:val="both"/>
      </w:pPr>
    </w:p>
    <w:p w:rsidR="00C32AB7" w:rsidRDefault="00C32AB7" w:rsidP="00816678">
      <w:pPr>
        <w:spacing w:line="276" w:lineRule="auto"/>
        <w:jc w:val="both"/>
      </w:pPr>
      <w:r>
        <w:t xml:space="preserve">Në nivelin vendor, detyrimin dhe përgjegjësinë e trajtimit me prioritet, pa diskriminim dhe në përputhje me standardet e miratuara e legjislacionin në fuqi, për të gjitha çështjet që lidhen </w:t>
      </w:r>
      <w:r>
        <w:lastRenderedPageBreak/>
        <w:t xml:space="preserve">me personat LGBTI+, e kanë </w:t>
      </w:r>
      <w:r w:rsidRPr="0005701D">
        <w:rPr>
          <w:b/>
        </w:rPr>
        <w:t>Nj</w:t>
      </w:r>
      <w:r>
        <w:rPr>
          <w:b/>
        </w:rPr>
        <w:t>ë</w:t>
      </w:r>
      <w:r w:rsidRPr="0005701D">
        <w:rPr>
          <w:b/>
        </w:rPr>
        <w:t>sit</w:t>
      </w:r>
      <w:r>
        <w:rPr>
          <w:b/>
        </w:rPr>
        <w:t>ë</w:t>
      </w:r>
      <w:r w:rsidRPr="0005701D">
        <w:rPr>
          <w:b/>
        </w:rPr>
        <w:t xml:space="preserve"> e Vet</w:t>
      </w:r>
      <w:r>
        <w:rPr>
          <w:b/>
        </w:rPr>
        <w:t>ë</w:t>
      </w:r>
      <w:r w:rsidRPr="0005701D">
        <w:rPr>
          <w:b/>
        </w:rPr>
        <w:t>qeverisjes Vendore</w:t>
      </w:r>
      <w:r>
        <w:t xml:space="preserve"> në bashkëpunim me institucionet e tjera partnere vendore. </w:t>
      </w:r>
    </w:p>
    <w:p w:rsidR="00816678" w:rsidRDefault="00816678" w:rsidP="00183731">
      <w:pPr>
        <w:spacing w:line="276" w:lineRule="auto"/>
        <w:jc w:val="both"/>
        <w:rPr>
          <w:szCs w:val="22"/>
        </w:rPr>
      </w:pPr>
    </w:p>
    <w:p w:rsidR="00BB122B" w:rsidRPr="001B1D14" w:rsidRDefault="00BB122B" w:rsidP="00BB122B"/>
    <w:p w:rsidR="007359C7" w:rsidRPr="00E233B4" w:rsidRDefault="007359C7" w:rsidP="00BF02E2">
      <w:pPr>
        <w:pStyle w:val="Heading3"/>
        <w:spacing w:before="0" w:after="0" w:line="276" w:lineRule="auto"/>
        <w:rPr>
          <w:rFonts w:ascii="Times New Roman" w:hAnsi="Times New Roman"/>
          <w:color w:val="FF00FF"/>
          <w:sz w:val="24"/>
          <w:szCs w:val="24"/>
        </w:rPr>
      </w:pPr>
      <w:bookmarkStart w:id="7" w:name="_Toc79509620"/>
      <w:r w:rsidRPr="00E233B4">
        <w:rPr>
          <w:rFonts w:ascii="Times New Roman" w:hAnsi="Times New Roman"/>
          <w:color w:val="FF00FF"/>
          <w:sz w:val="24"/>
          <w:szCs w:val="24"/>
        </w:rPr>
        <w:t xml:space="preserve">2.3. Lidhja e </w:t>
      </w:r>
      <w:r w:rsidR="00C32AB7" w:rsidRPr="00E233B4">
        <w:rPr>
          <w:rFonts w:ascii="Times New Roman" w:hAnsi="Times New Roman"/>
          <w:color w:val="FF00FF"/>
          <w:sz w:val="24"/>
          <w:szCs w:val="24"/>
        </w:rPr>
        <w:t>“</w:t>
      </w:r>
      <w:r w:rsidR="00466C00" w:rsidRPr="00E233B4">
        <w:rPr>
          <w:rFonts w:ascii="Times New Roman" w:hAnsi="Times New Roman"/>
          <w:color w:val="FF00FF"/>
          <w:sz w:val="24"/>
          <w:szCs w:val="24"/>
        </w:rPr>
        <w:t xml:space="preserve">PKV </w:t>
      </w:r>
      <w:r w:rsidR="00C32AB7" w:rsidRPr="00E233B4">
        <w:rPr>
          <w:rFonts w:ascii="Times New Roman" w:hAnsi="Times New Roman"/>
          <w:color w:val="FF00FF"/>
          <w:sz w:val="24"/>
          <w:szCs w:val="24"/>
        </w:rPr>
        <w:t xml:space="preserve">LGBTI+ </w:t>
      </w:r>
      <w:r w:rsidRPr="00E233B4">
        <w:rPr>
          <w:rFonts w:ascii="Times New Roman" w:hAnsi="Times New Roman"/>
          <w:color w:val="FF00FF"/>
          <w:sz w:val="24"/>
          <w:szCs w:val="24"/>
        </w:rPr>
        <w:t>2021</w:t>
      </w:r>
      <w:r w:rsidR="006D020A" w:rsidRPr="00E233B4">
        <w:rPr>
          <w:rFonts w:ascii="Times New Roman" w:hAnsi="Times New Roman"/>
          <w:color w:val="FF00FF"/>
          <w:sz w:val="24"/>
          <w:szCs w:val="24"/>
        </w:rPr>
        <w:t>-</w:t>
      </w:r>
      <w:r w:rsidRPr="00E233B4">
        <w:rPr>
          <w:rFonts w:ascii="Times New Roman" w:hAnsi="Times New Roman"/>
          <w:color w:val="FF00FF"/>
          <w:sz w:val="24"/>
          <w:szCs w:val="24"/>
        </w:rPr>
        <w:t>20</w:t>
      </w:r>
      <w:r w:rsidR="00466C00" w:rsidRPr="00E233B4">
        <w:rPr>
          <w:rFonts w:ascii="Times New Roman" w:hAnsi="Times New Roman"/>
          <w:color w:val="FF00FF"/>
          <w:sz w:val="24"/>
          <w:szCs w:val="24"/>
        </w:rPr>
        <w:t>27</w:t>
      </w:r>
      <w:r w:rsidR="00C32AB7" w:rsidRPr="00E233B4">
        <w:rPr>
          <w:rFonts w:ascii="Times New Roman" w:hAnsi="Times New Roman"/>
          <w:color w:val="FF00FF"/>
          <w:sz w:val="24"/>
          <w:szCs w:val="24"/>
        </w:rPr>
        <w:t>”</w:t>
      </w:r>
      <w:r w:rsidR="00466C00" w:rsidRPr="00E233B4">
        <w:rPr>
          <w:rFonts w:ascii="Times New Roman" w:hAnsi="Times New Roman"/>
          <w:color w:val="FF00FF"/>
          <w:sz w:val="24"/>
          <w:szCs w:val="24"/>
        </w:rPr>
        <w:t xml:space="preserve"> </w:t>
      </w:r>
      <w:r w:rsidRPr="00E233B4">
        <w:rPr>
          <w:rFonts w:ascii="Times New Roman" w:hAnsi="Times New Roman"/>
          <w:color w:val="FF00FF"/>
          <w:sz w:val="24"/>
          <w:szCs w:val="24"/>
        </w:rPr>
        <w:t>me dokumentat strategjik</w:t>
      </w:r>
      <w:r w:rsidR="003E56C1" w:rsidRPr="00E233B4">
        <w:rPr>
          <w:rFonts w:ascii="Times New Roman" w:hAnsi="Times New Roman"/>
          <w:color w:val="FF00FF"/>
          <w:sz w:val="24"/>
          <w:szCs w:val="24"/>
        </w:rPr>
        <w:t>ë</w:t>
      </w:r>
      <w:bookmarkEnd w:id="7"/>
    </w:p>
    <w:p w:rsidR="00466C00" w:rsidRPr="001B1D14" w:rsidRDefault="00466C00" w:rsidP="00BF02E2">
      <w:pPr>
        <w:spacing w:line="276" w:lineRule="auto"/>
        <w:rPr>
          <w:b/>
        </w:rPr>
      </w:pPr>
    </w:p>
    <w:p w:rsidR="00F65396" w:rsidRDefault="003E56C1" w:rsidP="00BF02E2">
      <w:pPr>
        <w:spacing w:line="276" w:lineRule="auto"/>
        <w:rPr>
          <w:b/>
        </w:rPr>
      </w:pPr>
      <w:r w:rsidRPr="001B1D14">
        <w:rPr>
          <w:b/>
        </w:rPr>
        <w:t xml:space="preserve">a) </w:t>
      </w:r>
      <w:r w:rsidR="00F55FD3" w:rsidRPr="001B1D14">
        <w:rPr>
          <w:b/>
        </w:rPr>
        <w:t>Lidhja me SKZHI</w:t>
      </w:r>
    </w:p>
    <w:p w:rsidR="00D725E6" w:rsidRPr="0005701D" w:rsidRDefault="00C32AB7" w:rsidP="00D725E6">
      <w:pPr>
        <w:spacing w:line="276" w:lineRule="auto"/>
        <w:jc w:val="both"/>
        <w:rPr>
          <w:iCs/>
        </w:rPr>
      </w:pPr>
      <w:r>
        <w:rPr>
          <w:bCs/>
        </w:rPr>
        <w:t>“</w:t>
      </w:r>
      <w:r w:rsidR="00D725E6" w:rsidRPr="007459B8">
        <w:rPr>
          <w:bCs/>
        </w:rPr>
        <w:t xml:space="preserve">PKV </w:t>
      </w:r>
      <w:r w:rsidR="0029487E">
        <w:rPr>
          <w:bCs/>
        </w:rPr>
        <w:t>LGBTI</w:t>
      </w:r>
      <w:r w:rsidR="007448E8">
        <w:rPr>
          <w:bCs/>
        </w:rPr>
        <w:t>+</w:t>
      </w:r>
      <w:r w:rsidR="00D725E6" w:rsidRPr="007459B8">
        <w:rPr>
          <w:bCs/>
        </w:rPr>
        <w:t xml:space="preserve"> </w:t>
      </w:r>
      <w:r w:rsidR="006D020A">
        <w:rPr>
          <w:bCs/>
        </w:rPr>
        <w:t>2021-2027</w:t>
      </w:r>
      <w:r w:rsidR="007448E8">
        <w:rPr>
          <w:bCs/>
        </w:rPr>
        <w:t xml:space="preserve">” lidhet dhe </w:t>
      </w:r>
      <w:r w:rsidR="00D725E6" w:rsidRPr="007459B8">
        <w:rPr>
          <w:bCs/>
        </w:rPr>
        <w:t>harmoniz</w:t>
      </w:r>
      <w:r w:rsidR="007448E8">
        <w:rPr>
          <w:bCs/>
        </w:rPr>
        <w:t>ohet</w:t>
      </w:r>
      <w:r w:rsidR="00D725E6" w:rsidRPr="007459B8">
        <w:rPr>
          <w:bCs/>
        </w:rPr>
        <w:t xml:space="preserve"> me Strategji</w:t>
      </w:r>
      <w:r w:rsidR="001A4AB4">
        <w:rPr>
          <w:bCs/>
        </w:rPr>
        <w:t>n</w:t>
      </w:r>
      <w:r w:rsidR="00D725E6" w:rsidRPr="007459B8">
        <w:rPr>
          <w:bCs/>
        </w:rPr>
        <w:t>ë Kombëtare për Zhvillim dhe Integrim 2015-2020 (SKZHI II)</w:t>
      </w:r>
      <w:r w:rsidR="001A4AB4">
        <w:rPr>
          <w:bCs/>
        </w:rPr>
        <w:t xml:space="preserve">, konkretisht me </w:t>
      </w:r>
      <w:r w:rsidR="00D725E6" w:rsidRPr="0005701D">
        <w:rPr>
          <w:iCs/>
        </w:rPr>
        <w:t>Shtyll</w:t>
      </w:r>
      <w:r w:rsidR="00AB5AC9">
        <w:rPr>
          <w:iCs/>
        </w:rPr>
        <w:t>ë</w:t>
      </w:r>
      <w:r w:rsidR="001A4AB4" w:rsidRPr="0005701D">
        <w:rPr>
          <w:iCs/>
        </w:rPr>
        <w:t>n</w:t>
      </w:r>
      <w:r w:rsidR="00D725E6" w:rsidRPr="0005701D">
        <w:rPr>
          <w:iCs/>
        </w:rPr>
        <w:t xml:space="preserve"> 3: </w:t>
      </w:r>
      <w:r w:rsidR="001A4AB4" w:rsidRPr="0005701D">
        <w:rPr>
          <w:iCs/>
        </w:rPr>
        <w:t>“</w:t>
      </w:r>
      <w:r w:rsidR="00D725E6" w:rsidRPr="0005701D">
        <w:rPr>
          <w:iCs/>
        </w:rPr>
        <w:t>Investimi në Kapitalin Njerëzor dhe Kohezionin Social</w:t>
      </w:r>
      <w:r w:rsidR="001A4AB4" w:rsidRPr="0005701D">
        <w:rPr>
          <w:iCs/>
        </w:rPr>
        <w:t xml:space="preserve">”, </w:t>
      </w:r>
      <w:r w:rsidR="001A4AB4">
        <w:rPr>
          <w:iCs/>
        </w:rPr>
        <w:t>pik</w:t>
      </w:r>
      <w:r w:rsidR="00AB5AC9">
        <w:rPr>
          <w:iCs/>
        </w:rPr>
        <w:t>ë</w:t>
      </w:r>
      <w:r w:rsidR="001A4AB4">
        <w:rPr>
          <w:iCs/>
        </w:rPr>
        <w:t>n 11.7. “Nd</w:t>
      </w:r>
      <w:r w:rsidR="00AB5AC9">
        <w:rPr>
          <w:iCs/>
        </w:rPr>
        <w:t>ë</w:t>
      </w:r>
      <w:r w:rsidR="001A4AB4">
        <w:rPr>
          <w:iCs/>
        </w:rPr>
        <w:t>rtimi i nj</w:t>
      </w:r>
      <w:r w:rsidR="00AB5AC9">
        <w:rPr>
          <w:iCs/>
        </w:rPr>
        <w:t>ë</w:t>
      </w:r>
      <w:r w:rsidR="001A4AB4">
        <w:rPr>
          <w:iCs/>
        </w:rPr>
        <w:t xml:space="preserve"> shoq</w:t>
      </w:r>
      <w:r w:rsidR="00AB5AC9">
        <w:rPr>
          <w:iCs/>
        </w:rPr>
        <w:t>ë</w:t>
      </w:r>
      <w:r w:rsidR="001A4AB4">
        <w:rPr>
          <w:iCs/>
        </w:rPr>
        <w:t>rie m</w:t>
      </w:r>
      <w:r w:rsidR="00AB5AC9">
        <w:rPr>
          <w:iCs/>
        </w:rPr>
        <w:t>ë</w:t>
      </w:r>
      <w:r w:rsidR="001A4AB4">
        <w:rPr>
          <w:iCs/>
        </w:rPr>
        <w:t xml:space="preserve"> gjith</w:t>
      </w:r>
      <w:r w:rsidR="00AB5AC9">
        <w:rPr>
          <w:iCs/>
        </w:rPr>
        <w:t>ë</w:t>
      </w:r>
      <w:r w:rsidR="001A4AB4">
        <w:rPr>
          <w:iCs/>
        </w:rPr>
        <w:t>p</w:t>
      </w:r>
      <w:r w:rsidR="00AB5AC9">
        <w:rPr>
          <w:iCs/>
        </w:rPr>
        <w:t>ë</w:t>
      </w:r>
      <w:r w:rsidR="001A4AB4">
        <w:rPr>
          <w:iCs/>
        </w:rPr>
        <w:t>rfshir</w:t>
      </w:r>
      <w:r w:rsidR="00AB5AC9">
        <w:rPr>
          <w:iCs/>
        </w:rPr>
        <w:t>ë</w:t>
      </w:r>
      <w:r w:rsidR="001A4AB4">
        <w:rPr>
          <w:iCs/>
        </w:rPr>
        <w:t>se”, e cila ka si vizion: “</w:t>
      </w:r>
      <w:r w:rsidR="001A4AB4">
        <w:t>Një shoqëri gjithëpërfshirëse, që krijon akses të barabartë për të gjithë qytetarët në lidhje me shërbimet publike, duke lehtësuar dhe mbështetur pjesëmarrjen e tyre aktive në shoqëri, pavarësisht nga niveli i të ardhurave, gjinia, mosha, aftësia e kufizuar, përkatësia etnike, orientimi seksual, vendbanimi apo besimi fetar”</w:t>
      </w:r>
      <w:r w:rsidR="001A4AB4">
        <w:rPr>
          <w:iCs/>
        </w:rPr>
        <w:t>.</w:t>
      </w:r>
    </w:p>
    <w:p w:rsidR="00265721" w:rsidRPr="001B1D14" w:rsidRDefault="00265721">
      <w:pPr>
        <w:spacing w:line="276" w:lineRule="auto"/>
        <w:jc w:val="both"/>
        <w:rPr>
          <w:rFonts w:eastAsiaTheme="minorHAnsi"/>
          <w:color w:val="2E74B6"/>
          <w:sz w:val="26"/>
          <w:szCs w:val="26"/>
          <w:lang w:eastAsia="en-US"/>
        </w:rPr>
      </w:pPr>
    </w:p>
    <w:p w:rsidR="007A4CF0" w:rsidRDefault="003E56C1" w:rsidP="00BF02E2">
      <w:pPr>
        <w:spacing w:line="276" w:lineRule="auto"/>
        <w:jc w:val="both"/>
        <w:rPr>
          <w:b/>
          <w:szCs w:val="22"/>
        </w:rPr>
      </w:pPr>
      <w:r w:rsidRPr="001B1D14">
        <w:rPr>
          <w:b/>
          <w:szCs w:val="22"/>
        </w:rPr>
        <w:t xml:space="preserve">b) </w:t>
      </w:r>
      <w:r w:rsidR="007A4CF0" w:rsidRPr="001B1D14">
        <w:rPr>
          <w:b/>
          <w:szCs w:val="22"/>
        </w:rPr>
        <w:t>Lidhja me Programin e Qeverisë</w:t>
      </w:r>
    </w:p>
    <w:p w:rsidR="00B56141" w:rsidRPr="007459B8" w:rsidRDefault="001A4AB4" w:rsidP="000A1754">
      <w:pPr>
        <w:spacing w:line="276" w:lineRule="auto"/>
        <w:jc w:val="both"/>
        <w:rPr>
          <w:i/>
          <w:iCs/>
          <w:szCs w:val="22"/>
        </w:rPr>
      </w:pPr>
      <w:r>
        <w:rPr>
          <w:szCs w:val="22"/>
        </w:rPr>
        <w:t xml:space="preserve">“PKV LGBTI+ 2021 – 2027” </w:t>
      </w:r>
      <w:r w:rsidR="00AB5AC9">
        <w:rPr>
          <w:szCs w:val="22"/>
        </w:rPr>
        <w:t>lid</w:t>
      </w:r>
      <w:r>
        <w:rPr>
          <w:szCs w:val="22"/>
        </w:rPr>
        <w:t xml:space="preserve">het me </w:t>
      </w:r>
      <w:r w:rsidR="00DA7857" w:rsidRPr="00DA7857">
        <w:rPr>
          <w:szCs w:val="22"/>
        </w:rPr>
        <w:t>Programi</w:t>
      </w:r>
      <w:r>
        <w:rPr>
          <w:szCs w:val="22"/>
        </w:rPr>
        <w:t>n</w:t>
      </w:r>
      <w:r w:rsidR="00DA7857" w:rsidRPr="00DA7857">
        <w:rPr>
          <w:szCs w:val="22"/>
        </w:rPr>
        <w:t xml:space="preserve"> Qeveri</w:t>
      </w:r>
      <w:r>
        <w:rPr>
          <w:szCs w:val="22"/>
        </w:rPr>
        <w:t>s</w:t>
      </w:r>
      <w:r w:rsidR="00AB5AC9">
        <w:rPr>
          <w:szCs w:val="22"/>
        </w:rPr>
        <w:t>ë</w:t>
      </w:r>
      <w:r>
        <w:rPr>
          <w:szCs w:val="22"/>
        </w:rPr>
        <w:t>s</w:t>
      </w:r>
      <w:r w:rsidR="00DA7857" w:rsidRPr="00DA7857">
        <w:rPr>
          <w:szCs w:val="22"/>
        </w:rPr>
        <w:t xml:space="preserve"> 201</w:t>
      </w:r>
      <w:r>
        <w:rPr>
          <w:szCs w:val="22"/>
        </w:rPr>
        <w:t>7</w:t>
      </w:r>
      <w:r w:rsidR="00DA7857" w:rsidRPr="00DA7857">
        <w:rPr>
          <w:szCs w:val="22"/>
        </w:rPr>
        <w:t>-2021</w:t>
      </w:r>
      <w:r>
        <w:rPr>
          <w:szCs w:val="22"/>
        </w:rPr>
        <w:t>, sidomos n</w:t>
      </w:r>
      <w:r w:rsidR="00AB5AC9">
        <w:rPr>
          <w:szCs w:val="22"/>
        </w:rPr>
        <w:t>ë</w:t>
      </w:r>
      <w:r>
        <w:rPr>
          <w:szCs w:val="22"/>
        </w:rPr>
        <w:t xml:space="preserve"> </w:t>
      </w:r>
      <w:r w:rsidR="000A1754" w:rsidRPr="0005701D">
        <w:rPr>
          <w:bCs/>
          <w:iCs/>
          <w:szCs w:val="22"/>
        </w:rPr>
        <w:t>Prioriteti</w:t>
      </w:r>
      <w:r w:rsidRPr="0005701D">
        <w:rPr>
          <w:bCs/>
          <w:iCs/>
          <w:szCs w:val="22"/>
        </w:rPr>
        <w:t>n</w:t>
      </w:r>
      <w:r w:rsidR="000A1754" w:rsidRPr="0005701D">
        <w:rPr>
          <w:bCs/>
          <w:iCs/>
          <w:szCs w:val="22"/>
        </w:rPr>
        <w:t xml:space="preserve"> 3 'Shërbimet publike', veçanërisht Neni 3.2 "Arsimi, Rinia dhe Sporti" dhe 3.3 "Shëndet</w:t>
      </w:r>
      <w:r w:rsidR="00BD2C41" w:rsidRPr="0005701D">
        <w:rPr>
          <w:bCs/>
          <w:iCs/>
          <w:szCs w:val="22"/>
        </w:rPr>
        <w:t>ësia</w:t>
      </w:r>
      <w:r w:rsidR="000A1754" w:rsidRPr="0005701D">
        <w:rPr>
          <w:bCs/>
          <w:iCs/>
          <w:szCs w:val="22"/>
        </w:rPr>
        <w:t xml:space="preserve"> dhe </w:t>
      </w:r>
      <w:r w:rsidR="00BD2C41" w:rsidRPr="0005701D">
        <w:rPr>
          <w:bCs/>
          <w:iCs/>
          <w:szCs w:val="22"/>
        </w:rPr>
        <w:t>Kujdesi Social</w:t>
      </w:r>
      <w:r w:rsidR="000A1754" w:rsidRPr="0005701D">
        <w:rPr>
          <w:bCs/>
          <w:iCs/>
          <w:szCs w:val="22"/>
        </w:rPr>
        <w:t>"</w:t>
      </w:r>
      <w:r w:rsidRPr="0005701D">
        <w:rPr>
          <w:bCs/>
          <w:iCs/>
          <w:szCs w:val="22"/>
        </w:rPr>
        <w:t xml:space="preserve">. </w:t>
      </w:r>
      <w:r>
        <w:rPr>
          <w:szCs w:val="22"/>
        </w:rPr>
        <w:t>Ç</w:t>
      </w:r>
      <w:r w:rsidR="00AB5AC9">
        <w:rPr>
          <w:szCs w:val="22"/>
        </w:rPr>
        <w:t>ë</w:t>
      </w:r>
      <w:r>
        <w:rPr>
          <w:szCs w:val="22"/>
        </w:rPr>
        <w:t>shtja e mosdiskriminimit jepet qart</w:t>
      </w:r>
      <w:r w:rsidR="00AB5AC9">
        <w:rPr>
          <w:szCs w:val="22"/>
        </w:rPr>
        <w:t>ë</w:t>
      </w:r>
      <w:r>
        <w:rPr>
          <w:szCs w:val="22"/>
        </w:rPr>
        <w:t>sisht q</w:t>
      </w:r>
      <w:r w:rsidR="00AB5AC9">
        <w:rPr>
          <w:szCs w:val="22"/>
        </w:rPr>
        <w:t>ë</w:t>
      </w:r>
      <w:r>
        <w:rPr>
          <w:szCs w:val="22"/>
        </w:rPr>
        <w:t xml:space="preserve"> n</w:t>
      </w:r>
      <w:r w:rsidR="00AB5AC9">
        <w:rPr>
          <w:szCs w:val="22"/>
        </w:rPr>
        <w:t>ë</w:t>
      </w:r>
      <w:r>
        <w:rPr>
          <w:szCs w:val="22"/>
        </w:rPr>
        <w:t xml:space="preserve"> hyrje t</w:t>
      </w:r>
      <w:r w:rsidR="00AB5AC9">
        <w:rPr>
          <w:szCs w:val="22"/>
        </w:rPr>
        <w:t>ë</w:t>
      </w:r>
      <w:r>
        <w:rPr>
          <w:szCs w:val="22"/>
        </w:rPr>
        <w:t xml:space="preserve"> k</w:t>
      </w:r>
      <w:r w:rsidR="00AB5AC9">
        <w:rPr>
          <w:szCs w:val="22"/>
        </w:rPr>
        <w:t>ë</w:t>
      </w:r>
      <w:r>
        <w:rPr>
          <w:szCs w:val="22"/>
        </w:rPr>
        <w:t>tij programi qeveris</w:t>
      </w:r>
      <w:r w:rsidR="00AB5AC9">
        <w:rPr>
          <w:szCs w:val="22"/>
        </w:rPr>
        <w:t>ë</w:t>
      </w:r>
      <w:r>
        <w:rPr>
          <w:szCs w:val="22"/>
        </w:rPr>
        <w:t xml:space="preserve">s, ku theksohet se: </w:t>
      </w:r>
      <w:r w:rsidR="000A1754" w:rsidRPr="007459B8">
        <w:rPr>
          <w:i/>
          <w:iCs/>
          <w:szCs w:val="22"/>
        </w:rPr>
        <w:t>"</w:t>
      </w:r>
      <w:r w:rsidR="00B56141" w:rsidRPr="007459B8">
        <w:rPr>
          <w:i/>
          <w:iCs/>
        </w:rPr>
        <w:t xml:space="preserve">Duam t’ju sigurojmë që </w:t>
      </w:r>
      <w:r w:rsidR="000A1754" w:rsidRPr="007459B8">
        <w:rPr>
          <w:i/>
          <w:iCs/>
          <w:szCs w:val="22"/>
        </w:rPr>
        <w:t xml:space="preserve">... </w:t>
      </w:r>
      <w:r w:rsidR="00BD2C41" w:rsidRPr="007459B8">
        <w:rPr>
          <w:i/>
          <w:iCs/>
        </w:rPr>
        <w:t>kjo qeverisje do të ushtrohet në mënyrë të përgjegjshme, efikase, transparente, në interes të zhvillimit të vendit, duke zgjeruar pjesëmarrjen dhe kontributin e çdo shqiptari në vendimmarrje, duke ndërtuar besimin e plotë tek e ardhmja moderne e Shqipërisë, duke luftuar korrupsionin, informalitetin, klientelizmin, pabarazinë përpara ligjit, pandëshkueshmërinë apo diskriminimet e çdo lloji qofshin</w:t>
      </w:r>
      <w:r w:rsidR="00B56141" w:rsidRPr="007459B8">
        <w:rPr>
          <w:i/>
          <w:iCs/>
        </w:rPr>
        <w:t xml:space="preserve">. </w:t>
      </w:r>
      <w:r w:rsidR="00B56141" w:rsidRPr="007459B8">
        <w:rPr>
          <w:i/>
          <w:iCs/>
          <w:szCs w:val="22"/>
        </w:rPr>
        <w:t>"</w:t>
      </w:r>
    </w:p>
    <w:p w:rsidR="007A4CF0" w:rsidRPr="007459B8" w:rsidRDefault="007A4CF0" w:rsidP="00BF02E2">
      <w:pPr>
        <w:spacing w:line="276" w:lineRule="auto"/>
        <w:jc w:val="both"/>
        <w:rPr>
          <w:i/>
          <w:iCs/>
          <w:szCs w:val="22"/>
        </w:rPr>
      </w:pPr>
    </w:p>
    <w:p w:rsidR="007A4CF0" w:rsidRDefault="003E56C1" w:rsidP="00BF02E2">
      <w:pPr>
        <w:spacing w:line="276" w:lineRule="auto"/>
        <w:jc w:val="both"/>
        <w:rPr>
          <w:b/>
          <w:szCs w:val="22"/>
        </w:rPr>
      </w:pPr>
      <w:r w:rsidRPr="001B1D14">
        <w:rPr>
          <w:b/>
          <w:szCs w:val="22"/>
        </w:rPr>
        <w:t xml:space="preserve">c) </w:t>
      </w:r>
      <w:r w:rsidR="007A4CF0" w:rsidRPr="001B1D14">
        <w:rPr>
          <w:b/>
          <w:szCs w:val="22"/>
        </w:rPr>
        <w:t xml:space="preserve">Lidhja me </w:t>
      </w:r>
      <w:r w:rsidR="001B445F" w:rsidRPr="001B1D14">
        <w:rPr>
          <w:b/>
          <w:szCs w:val="22"/>
        </w:rPr>
        <w:t>Planin Kombëtar të Integrimit Evropian (</w:t>
      </w:r>
      <w:r w:rsidR="007A4CF0" w:rsidRPr="001B1D14">
        <w:rPr>
          <w:b/>
          <w:szCs w:val="22"/>
        </w:rPr>
        <w:t>PKIE</w:t>
      </w:r>
      <w:r w:rsidR="001B445F" w:rsidRPr="001B1D14">
        <w:rPr>
          <w:b/>
          <w:szCs w:val="22"/>
        </w:rPr>
        <w:t>)</w:t>
      </w:r>
      <w:r w:rsidR="007A4CF0" w:rsidRPr="001B1D14">
        <w:rPr>
          <w:b/>
          <w:szCs w:val="22"/>
        </w:rPr>
        <w:t xml:space="preserve"> dhe Acquis të BE-së</w:t>
      </w:r>
    </w:p>
    <w:p w:rsidR="00B56141" w:rsidRDefault="00AB5AC9" w:rsidP="007E74D6">
      <w:pPr>
        <w:spacing w:line="276" w:lineRule="auto"/>
        <w:jc w:val="both"/>
        <w:rPr>
          <w:szCs w:val="22"/>
        </w:rPr>
      </w:pPr>
      <w:r>
        <w:rPr>
          <w:szCs w:val="22"/>
        </w:rPr>
        <w:t>“</w:t>
      </w:r>
      <w:r w:rsidR="007E74D6" w:rsidRPr="007E74D6">
        <w:rPr>
          <w:szCs w:val="22"/>
        </w:rPr>
        <w:t>P</w:t>
      </w:r>
      <w:r w:rsidR="007E74D6">
        <w:rPr>
          <w:szCs w:val="22"/>
        </w:rPr>
        <w:t>K</w:t>
      </w:r>
      <w:r w:rsidR="007E74D6" w:rsidRPr="007E74D6">
        <w:rPr>
          <w:szCs w:val="22"/>
        </w:rPr>
        <w:t xml:space="preserve">V </w:t>
      </w:r>
      <w:r w:rsidR="0029487E">
        <w:rPr>
          <w:szCs w:val="22"/>
        </w:rPr>
        <w:t>LGBTI</w:t>
      </w:r>
      <w:r>
        <w:rPr>
          <w:szCs w:val="22"/>
        </w:rPr>
        <w:t>+</w:t>
      </w:r>
      <w:r w:rsidR="007E74D6" w:rsidRPr="007E74D6">
        <w:rPr>
          <w:szCs w:val="22"/>
        </w:rPr>
        <w:t xml:space="preserve"> </w:t>
      </w:r>
      <w:r w:rsidR="006D020A">
        <w:rPr>
          <w:szCs w:val="22"/>
        </w:rPr>
        <w:t>2021-2027</w:t>
      </w:r>
      <w:r>
        <w:rPr>
          <w:szCs w:val="22"/>
        </w:rPr>
        <w:t>”</w:t>
      </w:r>
      <w:r w:rsidR="006D020A">
        <w:rPr>
          <w:szCs w:val="22"/>
        </w:rPr>
        <w:t xml:space="preserve"> </w:t>
      </w:r>
      <w:r w:rsidR="007E74D6" w:rsidRPr="007E74D6">
        <w:rPr>
          <w:szCs w:val="22"/>
        </w:rPr>
        <w:t xml:space="preserve">lidhet me </w:t>
      </w:r>
      <w:r w:rsidR="00F3167C" w:rsidRPr="007E74D6">
        <w:rPr>
          <w:szCs w:val="22"/>
        </w:rPr>
        <w:t>Kapitulli</w:t>
      </w:r>
      <w:r w:rsidR="00F3167C">
        <w:rPr>
          <w:szCs w:val="22"/>
        </w:rPr>
        <w:t>n</w:t>
      </w:r>
      <w:r w:rsidR="00F3167C" w:rsidRPr="007E74D6">
        <w:rPr>
          <w:szCs w:val="22"/>
        </w:rPr>
        <w:t xml:space="preserve"> 19: Politika sociale dhe punësimi</w:t>
      </w:r>
      <w:r w:rsidR="00F3167C">
        <w:rPr>
          <w:szCs w:val="22"/>
        </w:rPr>
        <w:t xml:space="preserve">, </w:t>
      </w:r>
      <w:r w:rsidR="007E74D6" w:rsidRPr="007E74D6">
        <w:rPr>
          <w:szCs w:val="22"/>
        </w:rPr>
        <w:t>Kapitullin 23: Gjyqësori dhe të drejtat themelore, Kapitulli</w:t>
      </w:r>
      <w:r>
        <w:rPr>
          <w:szCs w:val="22"/>
        </w:rPr>
        <w:t>n</w:t>
      </w:r>
      <w:r w:rsidR="007E74D6" w:rsidRPr="007E74D6">
        <w:rPr>
          <w:szCs w:val="22"/>
        </w:rPr>
        <w:t xml:space="preserve"> 24: Drejtësia, liria dhe siguria, Kapitulli</w:t>
      </w:r>
      <w:r>
        <w:rPr>
          <w:szCs w:val="22"/>
        </w:rPr>
        <w:t>n</w:t>
      </w:r>
      <w:r w:rsidR="007E74D6" w:rsidRPr="007E74D6">
        <w:rPr>
          <w:szCs w:val="22"/>
        </w:rPr>
        <w:t xml:space="preserve"> 26: Arsimi dhe kultura,, etj.</w:t>
      </w:r>
      <w:r w:rsidR="009D7A42">
        <w:rPr>
          <w:szCs w:val="22"/>
        </w:rPr>
        <w:t>, dhe me d</w:t>
      </w:r>
      <w:r w:rsidR="007E74D6" w:rsidRPr="007E74D6">
        <w:rPr>
          <w:szCs w:val="22"/>
        </w:rPr>
        <w:t>etyrimet që vijnë nga MSA dhe faza ekzistuese e procesit të negocimit dhe integrimit të Shqipërisë.</w:t>
      </w:r>
    </w:p>
    <w:p w:rsidR="0068210F" w:rsidRPr="006C2792" w:rsidRDefault="00AB5AC9" w:rsidP="0005701D">
      <w:pPr>
        <w:spacing w:line="276" w:lineRule="auto"/>
        <w:jc w:val="both"/>
      </w:pPr>
      <w:r>
        <w:rPr>
          <w:szCs w:val="22"/>
        </w:rPr>
        <w:t xml:space="preserve">Në </w:t>
      </w:r>
      <w:r w:rsidR="00224C38" w:rsidRPr="00224C38">
        <w:rPr>
          <w:szCs w:val="22"/>
        </w:rPr>
        <w:t>Plani</w:t>
      </w:r>
      <w:r>
        <w:rPr>
          <w:szCs w:val="22"/>
        </w:rPr>
        <w:t>n</w:t>
      </w:r>
      <w:r w:rsidR="00224C38" w:rsidRPr="00224C38">
        <w:rPr>
          <w:szCs w:val="22"/>
        </w:rPr>
        <w:t xml:space="preserve"> Kombëtar për Integrimin Evropian 20</w:t>
      </w:r>
      <w:r w:rsidR="006D020A">
        <w:rPr>
          <w:szCs w:val="22"/>
        </w:rPr>
        <w:t>21-</w:t>
      </w:r>
      <w:r w:rsidR="00224C38" w:rsidRPr="00224C38">
        <w:rPr>
          <w:szCs w:val="22"/>
        </w:rPr>
        <w:t>202</w:t>
      </w:r>
      <w:r w:rsidR="006D020A">
        <w:rPr>
          <w:szCs w:val="22"/>
        </w:rPr>
        <w:t>3</w:t>
      </w:r>
      <w:r>
        <w:rPr>
          <w:szCs w:val="22"/>
        </w:rPr>
        <w:t>, p</w:t>
      </w:r>
      <w:r w:rsidR="00727404">
        <w:rPr>
          <w:szCs w:val="22"/>
        </w:rPr>
        <w:t>ë</w:t>
      </w:r>
      <w:r>
        <w:rPr>
          <w:szCs w:val="22"/>
        </w:rPr>
        <w:t xml:space="preserve">rsa u takon personave </w:t>
      </w:r>
      <w:r w:rsidR="0068210F" w:rsidRPr="009C0A87">
        <w:t>LGBTI</w:t>
      </w:r>
      <w:r>
        <w:t>+</w:t>
      </w:r>
      <w:r w:rsidR="0068210F" w:rsidRPr="009C0A87">
        <w:t xml:space="preserve">, </w:t>
      </w:r>
      <w:r w:rsidR="009D7A42" w:rsidRPr="009C0A87">
        <w:t>Seksioni</w:t>
      </w:r>
      <w:r w:rsidR="009D7A42">
        <w:t xml:space="preserve"> 19.7 “P</w:t>
      </w:r>
      <w:r w:rsidR="0068210F" w:rsidRPr="006C2792">
        <w:t>rioritetet</w:t>
      </w:r>
      <w:r w:rsidR="009D7A42">
        <w:t>”</w:t>
      </w:r>
      <w:r>
        <w:t xml:space="preserve">, </w:t>
      </w:r>
      <w:r w:rsidR="009D7A42">
        <w:t xml:space="preserve">parashikon se prioritetet </w:t>
      </w:r>
      <w:r w:rsidR="0068210F" w:rsidRPr="006C2792">
        <w:t>janë:</w:t>
      </w:r>
    </w:p>
    <w:p w:rsidR="0068210F" w:rsidRPr="006C2792" w:rsidRDefault="0068210F" w:rsidP="0068210F">
      <w:pPr>
        <w:pStyle w:val="ListParagraph"/>
        <w:numPr>
          <w:ilvl w:val="0"/>
          <w:numId w:val="49"/>
        </w:numPr>
        <w:spacing w:line="300" w:lineRule="exact"/>
        <w:jc w:val="both"/>
      </w:pPr>
      <w:r w:rsidRPr="006C2792">
        <w:t>Miratimi dhe zbatimi i Planit LGBTI</w:t>
      </w:r>
      <w:r w:rsidR="00AB5AC9">
        <w:t>+</w:t>
      </w:r>
      <w:r w:rsidRPr="006C2792">
        <w:t xml:space="preserve"> 2021- 2027</w:t>
      </w:r>
      <w:r w:rsidR="009C0A87">
        <w:t>; dhe</w:t>
      </w:r>
      <w:r w:rsidRPr="006C2792">
        <w:t xml:space="preserve"> </w:t>
      </w:r>
    </w:p>
    <w:p w:rsidR="0068210F" w:rsidRDefault="0068210F" w:rsidP="0068210F">
      <w:pPr>
        <w:pStyle w:val="ListParagraph"/>
        <w:numPr>
          <w:ilvl w:val="0"/>
          <w:numId w:val="49"/>
        </w:numPr>
        <w:spacing w:line="300" w:lineRule="exact"/>
        <w:jc w:val="both"/>
      </w:pPr>
      <w:r w:rsidRPr="006C2792">
        <w:t>Rritja e ndërgjegjësimit të publikut, profesionistëve të fushës</w:t>
      </w:r>
      <w:r w:rsidR="009D7A42">
        <w:t>.</w:t>
      </w:r>
    </w:p>
    <w:p w:rsidR="00F90A66" w:rsidRPr="001B1D14" w:rsidRDefault="00F90A66" w:rsidP="00BF02E2">
      <w:pPr>
        <w:spacing w:line="276" w:lineRule="auto"/>
        <w:jc w:val="both"/>
        <w:rPr>
          <w:szCs w:val="22"/>
        </w:rPr>
      </w:pPr>
    </w:p>
    <w:p w:rsidR="000D25D6" w:rsidRPr="001B1D14" w:rsidRDefault="00F3167C" w:rsidP="00BF02E2">
      <w:pPr>
        <w:spacing w:line="276" w:lineRule="auto"/>
        <w:jc w:val="both"/>
        <w:rPr>
          <w:szCs w:val="22"/>
        </w:rPr>
      </w:pPr>
      <w:r>
        <w:rPr>
          <w:b/>
          <w:szCs w:val="22"/>
        </w:rPr>
        <w:t>d</w:t>
      </w:r>
      <w:r w:rsidR="003E56C1" w:rsidRPr="001B1D14">
        <w:rPr>
          <w:b/>
          <w:szCs w:val="22"/>
        </w:rPr>
        <w:t xml:space="preserve">) </w:t>
      </w:r>
      <w:r w:rsidR="000D25D6" w:rsidRPr="001B1D14">
        <w:rPr>
          <w:b/>
          <w:szCs w:val="22"/>
        </w:rPr>
        <w:t xml:space="preserve">Lidhja me </w:t>
      </w:r>
      <w:r w:rsidR="001B445F" w:rsidRPr="001B1D14">
        <w:rPr>
          <w:b/>
          <w:szCs w:val="22"/>
        </w:rPr>
        <w:t>Objektivat e Zhvillimit të Qendrueshëm (</w:t>
      </w:r>
      <w:r w:rsidR="000D25D6" w:rsidRPr="001B1D14">
        <w:rPr>
          <w:b/>
          <w:szCs w:val="22"/>
        </w:rPr>
        <w:t>OZHQ</w:t>
      </w:r>
      <w:r w:rsidR="001B445F" w:rsidRPr="001B1D14">
        <w:rPr>
          <w:b/>
          <w:szCs w:val="22"/>
        </w:rPr>
        <w:t>)</w:t>
      </w:r>
    </w:p>
    <w:p w:rsidR="00373DD2" w:rsidRDefault="00A97C34" w:rsidP="00373DD2">
      <w:pPr>
        <w:spacing w:line="276" w:lineRule="auto"/>
        <w:jc w:val="both"/>
        <w:rPr>
          <w:szCs w:val="22"/>
        </w:rPr>
      </w:pPr>
      <w:r>
        <w:rPr>
          <w:szCs w:val="22"/>
        </w:rPr>
        <w:t>“PKV LGBTI+ 2021 – 2027” lidhet ngusht</w:t>
      </w:r>
      <w:r w:rsidR="00CB7F5A">
        <w:rPr>
          <w:szCs w:val="22"/>
        </w:rPr>
        <w:t>ë</w:t>
      </w:r>
      <w:r>
        <w:rPr>
          <w:szCs w:val="22"/>
        </w:rPr>
        <w:t>sisht edhe me Objektivat e Zhvillimit t</w:t>
      </w:r>
      <w:r w:rsidR="00CB7F5A">
        <w:rPr>
          <w:szCs w:val="22"/>
        </w:rPr>
        <w:t>ë</w:t>
      </w:r>
      <w:r>
        <w:rPr>
          <w:szCs w:val="22"/>
        </w:rPr>
        <w:t xml:space="preserve"> Qendruesh</w:t>
      </w:r>
      <w:r w:rsidR="00CB7F5A">
        <w:rPr>
          <w:szCs w:val="22"/>
        </w:rPr>
        <w:t>ë</w:t>
      </w:r>
      <w:r>
        <w:rPr>
          <w:szCs w:val="22"/>
        </w:rPr>
        <w:t>m, konkretisht me:</w:t>
      </w:r>
    </w:p>
    <w:p w:rsidR="00A97C34" w:rsidRDefault="00A97C34" w:rsidP="00373DD2">
      <w:pPr>
        <w:spacing w:line="276" w:lineRule="auto"/>
        <w:jc w:val="both"/>
        <w:rPr>
          <w:szCs w:val="22"/>
        </w:rPr>
      </w:pPr>
      <w:r w:rsidRPr="00E233B4">
        <w:rPr>
          <w:b/>
          <w:i/>
          <w:szCs w:val="22"/>
        </w:rPr>
        <w:t>OZHQ 3</w:t>
      </w:r>
      <w:r>
        <w:rPr>
          <w:szCs w:val="22"/>
        </w:rPr>
        <w:t xml:space="preserve"> “</w:t>
      </w:r>
      <w:r w:rsidR="00816BE5" w:rsidRPr="00816BE5">
        <w:rPr>
          <w:szCs w:val="22"/>
        </w:rPr>
        <w:t>Sigurimi i jetës së shëndetshme dhe nxitja e mirëqenies për të gjithë njerëzit e çdo moshe</w:t>
      </w:r>
      <w:r>
        <w:rPr>
          <w:szCs w:val="22"/>
        </w:rPr>
        <w:t>”, e n</w:t>
      </w:r>
      <w:r w:rsidR="00CB7F5A">
        <w:rPr>
          <w:szCs w:val="22"/>
        </w:rPr>
        <w:t>ë</w:t>
      </w:r>
      <w:r>
        <w:rPr>
          <w:szCs w:val="22"/>
        </w:rPr>
        <w:t xml:space="preserve"> m</w:t>
      </w:r>
      <w:r w:rsidR="00CB7F5A">
        <w:rPr>
          <w:szCs w:val="22"/>
        </w:rPr>
        <w:t>ë</w:t>
      </w:r>
      <w:r>
        <w:rPr>
          <w:szCs w:val="22"/>
        </w:rPr>
        <w:t>nyr</w:t>
      </w:r>
      <w:r w:rsidR="00CB7F5A">
        <w:rPr>
          <w:szCs w:val="22"/>
        </w:rPr>
        <w:t>ë</w:t>
      </w:r>
      <w:r>
        <w:rPr>
          <w:szCs w:val="22"/>
        </w:rPr>
        <w:t xml:space="preserve"> specifike me target 3.7 “</w:t>
      </w:r>
      <w:r w:rsidRPr="00A97C34">
        <w:rPr>
          <w:szCs w:val="22"/>
        </w:rPr>
        <w:t xml:space="preserve">Deri në vitin 2030, </w:t>
      </w:r>
      <w:r>
        <w:rPr>
          <w:szCs w:val="22"/>
        </w:rPr>
        <w:t>do t</w:t>
      </w:r>
      <w:r w:rsidR="00CB7F5A">
        <w:rPr>
          <w:szCs w:val="22"/>
        </w:rPr>
        <w:t>ë</w:t>
      </w:r>
      <w:r>
        <w:rPr>
          <w:szCs w:val="22"/>
        </w:rPr>
        <w:t xml:space="preserve"> sigurohet </w:t>
      </w:r>
      <w:r w:rsidRPr="00A97C34">
        <w:rPr>
          <w:szCs w:val="22"/>
        </w:rPr>
        <w:t xml:space="preserve">qasje universale në shërbimet e </w:t>
      </w:r>
      <w:r>
        <w:rPr>
          <w:szCs w:val="22"/>
        </w:rPr>
        <w:t>sh</w:t>
      </w:r>
      <w:r w:rsidR="00CB7F5A">
        <w:rPr>
          <w:szCs w:val="22"/>
        </w:rPr>
        <w:t>ë</w:t>
      </w:r>
      <w:r>
        <w:rPr>
          <w:szCs w:val="22"/>
        </w:rPr>
        <w:t>ndetit</w:t>
      </w:r>
      <w:r w:rsidRPr="00A97C34">
        <w:rPr>
          <w:szCs w:val="22"/>
        </w:rPr>
        <w:t xml:space="preserve"> seksual dhe riprodhues, përfshirë planifikimin familjar, informacionin dhe edukimin, dhe integrimin e shëndetit riprodhues në strategjitë dhe programet kombëtare</w:t>
      </w:r>
      <w:r>
        <w:rPr>
          <w:szCs w:val="22"/>
        </w:rPr>
        <w:t>”; si dhe target 3.8: “</w:t>
      </w:r>
      <w:r w:rsidRPr="00A97C34">
        <w:rPr>
          <w:szCs w:val="22"/>
        </w:rPr>
        <w:t xml:space="preserve">Arritja e mbulimit universal shëndetësor, përfshirë </w:t>
      </w:r>
      <w:r w:rsidRPr="00A97C34">
        <w:rPr>
          <w:szCs w:val="22"/>
        </w:rPr>
        <w:lastRenderedPageBreak/>
        <w:t>mbrojtjen e rrezikut financiar, aksesin në shërbimet cilësore të kujdesit shëndetësor dhe qasjen në ilaçe dhe vaksina thelbësore, efektive, cilësore dhe të përballueshme për të gjithë</w:t>
      </w:r>
      <w:r>
        <w:rPr>
          <w:szCs w:val="22"/>
        </w:rPr>
        <w:t>”</w:t>
      </w:r>
    </w:p>
    <w:p w:rsidR="00A97C34" w:rsidRDefault="00A97C34" w:rsidP="00373DD2">
      <w:pPr>
        <w:spacing w:line="276" w:lineRule="auto"/>
        <w:jc w:val="both"/>
        <w:rPr>
          <w:szCs w:val="22"/>
        </w:rPr>
      </w:pPr>
      <w:r w:rsidRPr="00E233B4">
        <w:rPr>
          <w:b/>
          <w:i/>
          <w:szCs w:val="22"/>
        </w:rPr>
        <w:t>OZHQ 4</w:t>
      </w:r>
      <w:r>
        <w:rPr>
          <w:szCs w:val="22"/>
        </w:rPr>
        <w:t xml:space="preserve"> “</w:t>
      </w:r>
      <w:r w:rsidRPr="00A97C34">
        <w:rPr>
          <w:szCs w:val="22"/>
        </w:rPr>
        <w:t>Sigurimi i arsimit cilësor gjithëpërfshirës dhe të barabartë dhe promovimi i mundësive të të mësuarit gjatë gjithë jetës për të gjithë</w:t>
      </w:r>
      <w:r>
        <w:rPr>
          <w:szCs w:val="22"/>
        </w:rPr>
        <w:t>”, e n</w:t>
      </w:r>
      <w:r w:rsidR="00CB7F5A">
        <w:rPr>
          <w:szCs w:val="22"/>
        </w:rPr>
        <w:t>ë</w:t>
      </w:r>
      <w:r>
        <w:rPr>
          <w:szCs w:val="22"/>
        </w:rPr>
        <w:t xml:space="preserve"> m</w:t>
      </w:r>
      <w:r w:rsidR="00CB7F5A">
        <w:rPr>
          <w:szCs w:val="22"/>
        </w:rPr>
        <w:t>ë</w:t>
      </w:r>
      <w:r>
        <w:rPr>
          <w:szCs w:val="22"/>
        </w:rPr>
        <w:t>nyr</w:t>
      </w:r>
      <w:r w:rsidR="00CB7F5A">
        <w:rPr>
          <w:szCs w:val="22"/>
        </w:rPr>
        <w:t>ë</w:t>
      </w:r>
      <w:r>
        <w:rPr>
          <w:szCs w:val="22"/>
        </w:rPr>
        <w:t xml:space="preserve"> specifike me target 4.5 “</w:t>
      </w:r>
      <w:r w:rsidRPr="00A97C34">
        <w:rPr>
          <w:szCs w:val="22"/>
        </w:rPr>
        <w:t xml:space="preserve">Deri në vitin 2030, </w:t>
      </w:r>
      <w:r>
        <w:rPr>
          <w:szCs w:val="22"/>
        </w:rPr>
        <w:t>do t</w:t>
      </w:r>
      <w:r w:rsidR="00CB7F5A">
        <w:rPr>
          <w:szCs w:val="22"/>
        </w:rPr>
        <w:t>ë</w:t>
      </w:r>
      <w:r w:rsidR="007C5AFB">
        <w:rPr>
          <w:szCs w:val="22"/>
        </w:rPr>
        <w:t xml:space="preserve"> eliminohen</w:t>
      </w:r>
      <w:r w:rsidRPr="00A97C34">
        <w:rPr>
          <w:szCs w:val="22"/>
        </w:rPr>
        <w:t xml:space="preserve"> pabarazitë gjinore në arsim dhe </w:t>
      </w:r>
      <w:r>
        <w:rPr>
          <w:szCs w:val="22"/>
        </w:rPr>
        <w:t>do t</w:t>
      </w:r>
      <w:r w:rsidR="00CB7F5A">
        <w:rPr>
          <w:szCs w:val="22"/>
        </w:rPr>
        <w:t>ë</w:t>
      </w:r>
      <w:r>
        <w:rPr>
          <w:szCs w:val="22"/>
        </w:rPr>
        <w:t xml:space="preserve"> sigurohet </w:t>
      </w:r>
      <w:r w:rsidRPr="00A97C34">
        <w:rPr>
          <w:szCs w:val="22"/>
        </w:rPr>
        <w:t xml:space="preserve">akses </w:t>
      </w:r>
      <w:r>
        <w:rPr>
          <w:szCs w:val="22"/>
        </w:rPr>
        <w:t>i</w:t>
      </w:r>
      <w:r w:rsidRPr="00A97C34">
        <w:rPr>
          <w:szCs w:val="22"/>
        </w:rPr>
        <w:t xml:space="preserve"> barabartë në të gjitha nivelet e arsimit dhe aftësimit profesional për personat e cenueshëm, përfshirë personat me aftësi të kufizuara, popujt autoktonë dhe fëmijët në situata të cenueshme</w:t>
      </w:r>
      <w:r w:rsidR="006F2AFC">
        <w:rPr>
          <w:szCs w:val="22"/>
        </w:rPr>
        <w:t>”, si dhe me target 4.7 “</w:t>
      </w:r>
      <w:r w:rsidR="006F2AFC" w:rsidRPr="006F2AFC">
        <w:rPr>
          <w:szCs w:val="22"/>
        </w:rPr>
        <w:t xml:space="preserve">Deri në vitin 2030, </w:t>
      </w:r>
      <w:r w:rsidR="006F2AFC">
        <w:rPr>
          <w:szCs w:val="22"/>
        </w:rPr>
        <w:t>do t</w:t>
      </w:r>
      <w:r w:rsidR="00CB7F5A">
        <w:rPr>
          <w:szCs w:val="22"/>
        </w:rPr>
        <w:t>ë</w:t>
      </w:r>
      <w:r w:rsidR="006F2AFC">
        <w:rPr>
          <w:szCs w:val="22"/>
        </w:rPr>
        <w:t xml:space="preserve"> sigurohet </w:t>
      </w:r>
      <w:r w:rsidR="006F2AFC" w:rsidRPr="006F2AFC">
        <w:rPr>
          <w:szCs w:val="22"/>
        </w:rPr>
        <w:t xml:space="preserve">që të gjithë nxënësit të fitojnë njohuritë dhe aftësitë e nevojshme për të promovuar zhvillimin e qëndrueshëm, përfshirë, ndër të tjera, përmes edukimit për zhvillim të qëndrueshëm dhe mënyrë jetese të qëndrueshme, të drejtave të njeriut, barazisë gjinore, promovimit të një kulture paqeje dhe jo dhune, qytetarisë </w:t>
      </w:r>
      <w:r w:rsidR="006F2AFC">
        <w:rPr>
          <w:szCs w:val="22"/>
        </w:rPr>
        <w:t xml:space="preserve">globale, </w:t>
      </w:r>
      <w:r w:rsidR="006F2AFC" w:rsidRPr="006F2AFC">
        <w:rPr>
          <w:szCs w:val="22"/>
        </w:rPr>
        <w:t>vlerësimit të diversitetit kulturor dhe kontributit të kulturës në zhvillimin e qëndrueshëm</w:t>
      </w:r>
      <w:r w:rsidR="006F2AFC">
        <w:rPr>
          <w:szCs w:val="22"/>
        </w:rPr>
        <w:t>”.</w:t>
      </w:r>
    </w:p>
    <w:p w:rsidR="006F2AFC" w:rsidRDefault="006F2AFC" w:rsidP="00373DD2">
      <w:pPr>
        <w:spacing w:line="276" w:lineRule="auto"/>
        <w:jc w:val="both"/>
        <w:rPr>
          <w:szCs w:val="22"/>
        </w:rPr>
      </w:pPr>
      <w:r w:rsidRPr="00E233B4">
        <w:rPr>
          <w:b/>
          <w:i/>
          <w:szCs w:val="22"/>
        </w:rPr>
        <w:t>OZHQ 5</w:t>
      </w:r>
      <w:r>
        <w:rPr>
          <w:szCs w:val="22"/>
        </w:rPr>
        <w:t xml:space="preserve"> “</w:t>
      </w:r>
      <w:r w:rsidRPr="006F2AFC">
        <w:rPr>
          <w:szCs w:val="22"/>
        </w:rPr>
        <w:t>Arritja e barazisë gjinore dhe fuqizimi i të gjitha grave dhe vajzave</w:t>
      </w:r>
      <w:r>
        <w:rPr>
          <w:szCs w:val="22"/>
        </w:rPr>
        <w:t>”, me fokus tek grat</w:t>
      </w:r>
      <w:r w:rsidR="00CB7F5A">
        <w:rPr>
          <w:szCs w:val="22"/>
        </w:rPr>
        <w:t>ë</w:t>
      </w:r>
      <w:r>
        <w:rPr>
          <w:szCs w:val="22"/>
        </w:rPr>
        <w:t xml:space="preserve"> dhe vajzat LBTI+, specifikisht me target 5.1 “Ndalimi i të gjitha formave t</w:t>
      </w:r>
      <w:r w:rsidR="00CB7F5A">
        <w:rPr>
          <w:szCs w:val="22"/>
        </w:rPr>
        <w:t>ë</w:t>
      </w:r>
      <w:r w:rsidRPr="006F2AFC">
        <w:rPr>
          <w:szCs w:val="22"/>
        </w:rPr>
        <w:t xml:space="preserve"> diskriminimit kundër të gjitha grave dhe vajzave kudo</w:t>
      </w:r>
      <w:r>
        <w:rPr>
          <w:szCs w:val="22"/>
        </w:rPr>
        <w:t xml:space="preserve"> n</w:t>
      </w:r>
      <w:r w:rsidR="00CB7F5A">
        <w:rPr>
          <w:szCs w:val="22"/>
        </w:rPr>
        <w:t>ë</w:t>
      </w:r>
      <w:r>
        <w:rPr>
          <w:szCs w:val="22"/>
        </w:rPr>
        <w:t xml:space="preserve"> bot</w:t>
      </w:r>
      <w:r w:rsidR="00CB7F5A">
        <w:rPr>
          <w:szCs w:val="22"/>
        </w:rPr>
        <w:t>ë</w:t>
      </w:r>
      <w:r>
        <w:rPr>
          <w:szCs w:val="22"/>
        </w:rPr>
        <w:t>” dhe target 5.2 “</w:t>
      </w:r>
      <w:r w:rsidRPr="006F2AFC">
        <w:rPr>
          <w:szCs w:val="22"/>
        </w:rPr>
        <w:t>Eliminimi i të gjitha formave të dhunës kundër të gjitha grave dhe vajzave në sferat publike dh</w:t>
      </w:r>
      <w:r>
        <w:rPr>
          <w:szCs w:val="22"/>
        </w:rPr>
        <w:t xml:space="preserve">e private, përfshirë trafikimin, abuzimin </w:t>
      </w:r>
      <w:r w:rsidRPr="006F2AFC">
        <w:rPr>
          <w:szCs w:val="22"/>
        </w:rPr>
        <w:t>seksual dhe llojet e tjera</w:t>
      </w:r>
      <w:r>
        <w:rPr>
          <w:szCs w:val="22"/>
        </w:rPr>
        <w:t xml:space="preserve"> t</w:t>
      </w:r>
      <w:r w:rsidR="00CB7F5A">
        <w:rPr>
          <w:szCs w:val="22"/>
        </w:rPr>
        <w:t>ë</w:t>
      </w:r>
      <w:r>
        <w:rPr>
          <w:szCs w:val="22"/>
        </w:rPr>
        <w:t xml:space="preserve"> shfryt</w:t>
      </w:r>
      <w:r w:rsidR="00CB7F5A">
        <w:rPr>
          <w:szCs w:val="22"/>
        </w:rPr>
        <w:t>ë</w:t>
      </w:r>
      <w:r>
        <w:rPr>
          <w:szCs w:val="22"/>
        </w:rPr>
        <w:t>zimit”.</w:t>
      </w:r>
    </w:p>
    <w:p w:rsidR="006F2AFC" w:rsidRDefault="006F2AFC" w:rsidP="00373DD2">
      <w:pPr>
        <w:spacing w:line="276" w:lineRule="auto"/>
        <w:jc w:val="both"/>
        <w:rPr>
          <w:szCs w:val="22"/>
        </w:rPr>
      </w:pPr>
      <w:r w:rsidRPr="00E233B4">
        <w:rPr>
          <w:b/>
          <w:i/>
          <w:szCs w:val="22"/>
        </w:rPr>
        <w:t>OZHQ 8</w:t>
      </w:r>
      <w:r>
        <w:rPr>
          <w:szCs w:val="22"/>
        </w:rPr>
        <w:t xml:space="preserve"> “Promovimi i</w:t>
      </w:r>
      <w:r w:rsidRPr="006F2AFC">
        <w:rPr>
          <w:szCs w:val="22"/>
        </w:rPr>
        <w:t xml:space="preserve"> rritje</w:t>
      </w:r>
      <w:r>
        <w:rPr>
          <w:szCs w:val="22"/>
        </w:rPr>
        <w:t>s</w:t>
      </w:r>
      <w:r w:rsidRPr="006F2AFC">
        <w:rPr>
          <w:szCs w:val="22"/>
        </w:rPr>
        <w:t xml:space="preserve"> ekonomike të qënd</w:t>
      </w:r>
      <w:r>
        <w:rPr>
          <w:szCs w:val="22"/>
        </w:rPr>
        <w:t>rueshme dhe</w:t>
      </w:r>
      <w:r w:rsidRPr="006F2AFC">
        <w:rPr>
          <w:szCs w:val="22"/>
        </w:rPr>
        <w:t xml:space="preserve"> gjithëpërfshirëse, punësim</w:t>
      </w:r>
      <w:r>
        <w:rPr>
          <w:szCs w:val="22"/>
        </w:rPr>
        <w:t>it</w:t>
      </w:r>
      <w:r w:rsidRPr="006F2AFC">
        <w:rPr>
          <w:szCs w:val="22"/>
        </w:rPr>
        <w:t xml:space="preserve"> të plotë dhe produktiv</w:t>
      </w:r>
      <w:r>
        <w:rPr>
          <w:szCs w:val="22"/>
        </w:rPr>
        <w:t>, si</w:t>
      </w:r>
      <w:r w:rsidRPr="006F2AFC">
        <w:rPr>
          <w:szCs w:val="22"/>
        </w:rPr>
        <w:t xml:space="preserve"> dhe punë</w:t>
      </w:r>
      <w:r>
        <w:rPr>
          <w:szCs w:val="22"/>
        </w:rPr>
        <w:t>s s</w:t>
      </w:r>
      <w:r w:rsidRPr="006F2AFC">
        <w:rPr>
          <w:szCs w:val="22"/>
        </w:rPr>
        <w:t>ë denjë për të gjithë</w:t>
      </w:r>
      <w:r>
        <w:rPr>
          <w:szCs w:val="22"/>
        </w:rPr>
        <w:t>”, specifikisht me target 8.5 “Deri në vitin 2030, të arrihet punësim i plotë dhe produktiv dhe punë e denjë për të gjith</w:t>
      </w:r>
      <w:r w:rsidR="00CB7F5A">
        <w:rPr>
          <w:szCs w:val="22"/>
        </w:rPr>
        <w:t>ë</w:t>
      </w:r>
      <w:r w:rsidRPr="006F2AFC">
        <w:rPr>
          <w:szCs w:val="22"/>
        </w:rPr>
        <w:t xml:space="preserve"> gratë dhe burrat, përfshirë të </w:t>
      </w:r>
      <w:r>
        <w:rPr>
          <w:szCs w:val="22"/>
        </w:rPr>
        <w:t>rejat/</w:t>
      </w:r>
      <w:r w:rsidRPr="006F2AFC">
        <w:rPr>
          <w:szCs w:val="22"/>
        </w:rPr>
        <w:t xml:space="preserve">rinjtë dhe personat me aftësi të kufizuara, </w:t>
      </w:r>
      <w:r>
        <w:rPr>
          <w:szCs w:val="22"/>
        </w:rPr>
        <w:t xml:space="preserve">si </w:t>
      </w:r>
      <w:r w:rsidRPr="006F2AFC">
        <w:rPr>
          <w:szCs w:val="22"/>
        </w:rPr>
        <w:t>dhe pagë të barabartë për punë me vlerë të barabartë</w:t>
      </w:r>
      <w:r>
        <w:rPr>
          <w:szCs w:val="22"/>
        </w:rPr>
        <w:t>”, si dhe target 8.8 “</w:t>
      </w:r>
      <w:r w:rsidR="004E30E3" w:rsidRPr="004E30E3">
        <w:rPr>
          <w:szCs w:val="22"/>
        </w:rPr>
        <w:t>Mbrojtja e të drejtave të punës dhe promovimi i mjediseve të sigurta të punës për të gjithë</w:t>
      </w:r>
      <w:r w:rsidR="004E30E3">
        <w:rPr>
          <w:szCs w:val="22"/>
        </w:rPr>
        <w:t xml:space="preserve"> pun</w:t>
      </w:r>
      <w:r w:rsidR="00CB7F5A">
        <w:rPr>
          <w:szCs w:val="22"/>
        </w:rPr>
        <w:t>ë</w:t>
      </w:r>
      <w:r w:rsidR="004E30E3">
        <w:rPr>
          <w:szCs w:val="22"/>
        </w:rPr>
        <w:t xml:space="preserve">toret / </w:t>
      </w:r>
      <w:r w:rsidR="004E30E3" w:rsidRPr="004E30E3">
        <w:rPr>
          <w:szCs w:val="22"/>
        </w:rPr>
        <w:t xml:space="preserve">punëtorët, përfshirë </w:t>
      </w:r>
      <w:r w:rsidR="004E30E3">
        <w:rPr>
          <w:szCs w:val="22"/>
        </w:rPr>
        <w:t>emigrantet / e</w:t>
      </w:r>
      <w:r w:rsidR="004E30E3" w:rsidRPr="004E30E3">
        <w:rPr>
          <w:szCs w:val="22"/>
        </w:rPr>
        <w:t>migrantë</w:t>
      </w:r>
      <w:r w:rsidR="004E30E3">
        <w:rPr>
          <w:szCs w:val="22"/>
        </w:rPr>
        <w:t>t</w:t>
      </w:r>
      <w:r w:rsidR="004E30E3" w:rsidRPr="004E30E3">
        <w:rPr>
          <w:szCs w:val="22"/>
        </w:rPr>
        <w:t>, në veçanti gratë emigrante dhe ato në punë të pasigurt</w:t>
      </w:r>
      <w:r w:rsidR="004E30E3">
        <w:rPr>
          <w:szCs w:val="22"/>
        </w:rPr>
        <w:t>”.</w:t>
      </w:r>
    </w:p>
    <w:p w:rsidR="004E30E3" w:rsidRDefault="004E30E3" w:rsidP="00373DD2">
      <w:pPr>
        <w:spacing w:line="276" w:lineRule="auto"/>
        <w:jc w:val="both"/>
        <w:rPr>
          <w:szCs w:val="22"/>
        </w:rPr>
      </w:pPr>
      <w:r w:rsidRPr="00E233B4">
        <w:rPr>
          <w:b/>
          <w:i/>
          <w:szCs w:val="22"/>
        </w:rPr>
        <w:t>OZHQ 10</w:t>
      </w:r>
      <w:r>
        <w:rPr>
          <w:szCs w:val="22"/>
        </w:rPr>
        <w:t xml:space="preserve"> “</w:t>
      </w:r>
      <w:r w:rsidRPr="004E30E3">
        <w:rPr>
          <w:szCs w:val="22"/>
        </w:rPr>
        <w:t>Ulja e pabarazisë brenda dhe midis vendeve</w:t>
      </w:r>
      <w:r>
        <w:rPr>
          <w:szCs w:val="22"/>
        </w:rPr>
        <w:t>”, e n</w:t>
      </w:r>
      <w:r w:rsidR="00CB7F5A">
        <w:rPr>
          <w:szCs w:val="22"/>
        </w:rPr>
        <w:t>ë</w:t>
      </w:r>
      <w:r>
        <w:rPr>
          <w:szCs w:val="22"/>
        </w:rPr>
        <w:t xml:space="preserve"> m</w:t>
      </w:r>
      <w:r w:rsidR="00CB7F5A">
        <w:rPr>
          <w:szCs w:val="22"/>
        </w:rPr>
        <w:t>ë</w:t>
      </w:r>
      <w:r>
        <w:rPr>
          <w:szCs w:val="22"/>
        </w:rPr>
        <w:t>nyr</w:t>
      </w:r>
      <w:r w:rsidR="00CB7F5A">
        <w:rPr>
          <w:szCs w:val="22"/>
        </w:rPr>
        <w:t>ë</w:t>
      </w:r>
      <w:r>
        <w:rPr>
          <w:szCs w:val="22"/>
        </w:rPr>
        <w:t xml:space="preserve"> specifike me target 10.2 “</w:t>
      </w:r>
      <w:r w:rsidRPr="004E30E3">
        <w:rPr>
          <w:szCs w:val="22"/>
        </w:rPr>
        <w:t xml:space="preserve">Deri në vitin 2030, </w:t>
      </w:r>
      <w:r>
        <w:rPr>
          <w:szCs w:val="22"/>
        </w:rPr>
        <w:t>do t</w:t>
      </w:r>
      <w:r w:rsidR="00CB7F5A">
        <w:rPr>
          <w:szCs w:val="22"/>
        </w:rPr>
        <w:t>ë</w:t>
      </w:r>
      <w:r>
        <w:rPr>
          <w:szCs w:val="22"/>
        </w:rPr>
        <w:t xml:space="preserve"> fuqizohet dhe promovohet përfshirja</w:t>
      </w:r>
      <w:r w:rsidRPr="004E30E3">
        <w:rPr>
          <w:szCs w:val="22"/>
        </w:rPr>
        <w:t xml:space="preserve"> sociale, ekonomike dhe politike </w:t>
      </w:r>
      <w:r>
        <w:rPr>
          <w:szCs w:val="22"/>
        </w:rPr>
        <w:t>e</w:t>
      </w:r>
      <w:r w:rsidRPr="004E30E3">
        <w:rPr>
          <w:szCs w:val="22"/>
        </w:rPr>
        <w:t xml:space="preserve"> të gjithëve, pavarësisht nga mosha, gjinia, paaftës</w:t>
      </w:r>
      <w:r>
        <w:rPr>
          <w:szCs w:val="22"/>
        </w:rPr>
        <w:t xml:space="preserve">ia, raca, etnia, origjina, feja, </w:t>
      </w:r>
      <w:r w:rsidRPr="004E30E3">
        <w:rPr>
          <w:szCs w:val="22"/>
        </w:rPr>
        <w:t xml:space="preserve">statusi ekonomik ose </w:t>
      </w:r>
      <w:r>
        <w:rPr>
          <w:szCs w:val="22"/>
        </w:rPr>
        <w:t xml:space="preserve">çdolloj </w:t>
      </w:r>
      <w:r w:rsidRPr="004E30E3">
        <w:rPr>
          <w:szCs w:val="22"/>
        </w:rPr>
        <w:t>statusi tjetër</w:t>
      </w:r>
      <w:r>
        <w:rPr>
          <w:szCs w:val="22"/>
        </w:rPr>
        <w:t>”, si dhe target 10.3 “</w:t>
      </w:r>
      <w:r w:rsidR="00AF4476">
        <w:rPr>
          <w:szCs w:val="22"/>
        </w:rPr>
        <w:t>S</w:t>
      </w:r>
      <w:r w:rsidRPr="004E30E3">
        <w:rPr>
          <w:szCs w:val="22"/>
        </w:rPr>
        <w:t>igurimi i mundësive të barabarta dhe zvogëlimi i pabarazive të rezultateve, përfshirë eliminimin e ligjeve, politikave dhe praktikave diskriminuese dhe promovimin e legjislacionit, politikave dhe veprimeve të përshtatshme në këtë drejtim</w:t>
      </w:r>
      <w:r w:rsidR="00AF4476">
        <w:rPr>
          <w:szCs w:val="22"/>
        </w:rPr>
        <w:t>”</w:t>
      </w:r>
    </w:p>
    <w:p w:rsidR="00AF4476" w:rsidRDefault="00AF4476" w:rsidP="00373DD2">
      <w:pPr>
        <w:spacing w:line="276" w:lineRule="auto"/>
        <w:jc w:val="both"/>
        <w:rPr>
          <w:szCs w:val="22"/>
        </w:rPr>
      </w:pPr>
      <w:r w:rsidRPr="00E233B4">
        <w:rPr>
          <w:b/>
          <w:i/>
          <w:szCs w:val="22"/>
        </w:rPr>
        <w:t>OZHQ 11</w:t>
      </w:r>
      <w:r>
        <w:rPr>
          <w:szCs w:val="22"/>
        </w:rPr>
        <w:t xml:space="preserve"> “</w:t>
      </w:r>
      <w:r w:rsidRPr="00AF4476">
        <w:rPr>
          <w:szCs w:val="22"/>
        </w:rPr>
        <w:t>B</w:t>
      </w:r>
      <w:r>
        <w:rPr>
          <w:szCs w:val="22"/>
        </w:rPr>
        <w:t>ërja e qyteteve dhe vendbanimeve</w:t>
      </w:r>
      <w:r w:rsidRPr="00AF4476">
        <w:rPr>
          <w:szCs w:val="22"/>
        </w:rPr>
        <w:t xml:space="preserve"> njerëzore</w:t>
      </w:r>
      <w:r>
        <w:rPr>
          <w:szCs w:val="22"/>
        </w:rPr>
        <w:t xml:space="preserve"> gjithëpërfshirëse, të sigurta </w:t>
      </w:r>
      <w:r w:rsidRPr="00AF4476">
        <w:rPr>
          <w:szCs w:val="22"/>
        </w:rPr>
        <w:t>dhe të qëndrueshme</w:t>
      </w:r>
      <w:r>
        <w:rPr>
          <w:szCs w:val="22"/>
        </w:rPr>
        <w:t xml:space="preserve">”, sidomos me target </w:t>
      </w:r>
      <w:r w:rsidR="00CB7F5A">
        <w:rPr>
          <w:szCs w:val="22"/>
        </w:rPr>
        <w:t>11.1 “</w:t>
      </w:r>
      <w:r w:rsidR="00CB7F5A" w:rsidRPr="00CB7F5A">
        <w:rPr>
          <w:szCs w:val="22"/>
        </w:rPr>
        <w:t xml:space="preserve">Deri në vitin 2030, </w:t>
      </w:r>
      <w:r w:rsidR="00CB7F5A">
        <w:rPr>
          <w:szCs w:val="22"/>
        </w:rPr>
        <w:t>do të sigurohet</w:t>
      </w:r>
      <w:r w:rsidR="00CB7F5A" w:rsidRPr="00CB7F5A">
        <w:rPr>
          <w:szCs w:val="22"/>
        </w:rPr>
        <w:t xml:space="preserve"> qasje për të gjithë në strehim </w:t>
      </w:r>
      <w:r w:rsidR="00CB7F5A">
        <w:rPr>
          <w:szCs w:val="22"/>
        </w:rPr>
        <w:t>të përshtatshëm</w:t>
      </w:r>
      <w:r w:rsidR="00CB7F5A" w:rsidRPr="00CB7F5A">
        <w:rPr>
          <w:szCs w:val="22"/>
        </w:rPr>
        <w:t>, të sigurt dhe të përballueshëm</w:t>
      </w:r>
      <w:r w:rsidR="00CB7F5A">
        <w:rPr>
          <w:szCs w:val="22"/>
        </w:rPr>
        <w:t>, në</w:t>
      </w:r>
      <w:r w:rsidR="00CB7F5A" w:rsidRPr="00CB7F5A">
        <w:rPr>
          <w:szCs w:val="22"/>
        </w:rPr>
        <w:t xml:space="preserve"> shërbime th</w:t>
      </w:r>
      <w:r w:rsidR="00CB7F5A">
        <w:rPr>
          <w:szCs w:val="22"/>
        </w:rPr>
        <w:t>elbësore, si</w:t>
      </w:r>
      <w:r w:rsidR="00CB7F5A" w:rsidRPr="00CB7F5A">
        <w:rPr>
          <w:szCs w:val="22"/>
        </w:rPr>
        <w:t xml:space="preserve"> dhe </w:t>
      </w:r>
      <w:r w:rsidR="00CB7F5A">
        <w:rPr>
          <w:szCs w:val="22"/>
        </w:rPr>
        <w:t>do tëpërmirësohen</w:t>
      </w:r>
      <w:r w:rsidR="00CB7F5A" w:rsidRPr="00CB7F5A">
        <w:rPr>
          <w:szCs w:val="22"/>
        </w:rPr>
        <w:t xml:space="preserve"> lagjet e varf</w:t>
      </w:r>
      <w:r w:rsidR="00CB7F5A">
        <w:rPr>
          <w:szCs w:val="22"/>
        </w:rPr>
        <w:t>ë</w:t>
      </w:r>
      <w:r w:rsidR="00CB7F5A" w:rsidRPr="00CB7F5A">
        <w:rPr>
          <w:szCs w:val="22"/>
        </w:rPr>
        <w:t>ra</w:t>
      </w:r>
      <w:r w:rsidR="00CB7F5A">
        <w:rPr>
          <w:szCs w:val="22"/>
        </w:rPr>
        <w:t>”, si dhe target 11.7: “</w:t>
      </w:r>
      <w:r w:rsidR="00CB7F5A" w:rsidRPr="00CB7F5A">
        <w:rPr>
          <w:szCs w:val="22"/>
        </w:rPr>
        <w:t xml:space="preserve">Deri në vitin 2030, </w:t>
      </w:r>
      <w:r w:rsidR="00CB7F5A">
        <w:rPr>
          <w:szCs w:val="22"/>
        </w:rPr>
        <w:t xml:space="preserve">do të sigurohet qasje universale në hapësira publike </w:t>
      </w:r>
      <w:r w:rsidR="00CB7F5A" w:rsidRPr="00CB7F5A">
        <w:rPr>
          <w:szCs w:val="22"/>
        </w:rPr>
        <w:t xml:space="preserve">të sigurta, </w:t>
      </w:r>
      <w:r w:rsidR="00E233B4">
        <w:rPr>
          <w:szCs w:val="22"/>
        </w:rPr>
        <w:t>gjithë</w:t>
      </w:r>
      <w:r w:rsidR="00CB7F5A">
        <w:rPr>
          <w:szCs w:val="22"/>
        </w:rPr>
        <w:t xml:space="preserve">përfshirëse, </w:t>
      </w:r>
      <w:r w:rsidR="00CB7F5A" w:rsidRPr="00CB7F5A">
        <w:rPr>
          <w:szCs w:val="22"/>
        </w:rPr>
        <w:t>të arritshme</w:t>
      </w:r>
      <w:r w:rsidR="00CB7F5A">
        <w:rPr>
          <w:szCs w:val="22"/>
        </w:rPr>
        <w:t xml:space="preserve"> dhe të</w:t>
      </w:r>
      <w:r w:rsidR="00CB7F5A" w:rsidRPr="00CB7F5A">
        <w:rPr>
          <w:szCs w:val="22"/>
        </w:rPr>
        <w:t xml:space="preserve"> të gjelbra, veçanërisht për gratë dhe fëmijët, personat e moshuar dhe personat me aftësi të kufizuara</w:t>
      </w:r>
      <w:r w:rsidR="00CB7F5A">
        <w:rPr>
          <w:szCs w:val="22"/>
        </w:rPr>
        <w:t>.”</w:t>
      </w:r>
    </w:p>
    <w:p w:rsidR="00D10CDB" w:rsidRDefault="00CB7F5A" w:rsidP="00373DD2">
      <w:pPr>
        <w:spacing w:line="276" w:lineRule="auto"/>
        <w:jc w:val="both"/>
        <w:rPr>
          <w:szCs w:val="22"/>
        </w:rPr>
      </w:pPr>
      <w:r w:rsidRPr="00E233B4">
        <w:rPr>
          <w:b/>
          <w:i/>
          <w:szCs w:val="22"/>
        </w:rPr>
        <w:t>OZHQ 16</w:t>
      </w:r>
      <w:r>
        <w:rPr>
          <w:szCs w:val="22"/>
        </w:rPr>
        <w:t xml:space="preserve"> “</w:t>
      </w:r>
      <w:r w:rsidRPr="00CB7F5A">
        <w:rPr>
          <w:szCs w:val="22"/>
        </w:rPr>
        <w:t>Promovimi i shoqërive paqësore dhe gjithëpërfshirëse për zhvillim të qëndrueshëm, sigurimi i aksesit në drejtësi për të gjithë dhe ndërtimi i institucioneve efektive, të përgjegjshme dhe gjithëpërfshirëse në të gjitha nivelet</w:t>
      </w:r>
      <w:r>
        <w:rPr>
          <w:szCs w:val="22"/>
        </w:rPr>
        <w:t xml:space="preserve">”, sidomos me target 16.3 “Promovimi i zbatimit të </w:t>
      </w:r>
      <w:r w:rsidRPr="00CB7F5A">
        <w:rPr>
          <w:szCs w:val="22"/>
        </w:rPr>
        <w:t xml:space="preserve"> ligjit në nivelet kombëtar</w:t>
      </w:r>
      <w:r>
        <w:rPr>
          <w:szCs w:val="22"/>
        </w:rPr>
        <w:t>e dhe ndërkombëtare dhe sigurimi i</w:t>
      </w:r>
      <w:r w:rsidRPr="00CB7F5A">
        <w:rPr>
          <w:szCs w:val="22"/>
        </w:rPr>
        <w:t xml:space="preserve"> qasje</w:t>
      </w:r>
      <w:r>
        <w:rPr>
          <w:szCs w:val="22"/>
        </w:rPr>
        <w:t>s s</w:t>
      </w:r>
      <w:r w:rsidRPr="00CB7F5A">
        <w:rPr>
          <w:szCs w:val="22"/>
        </w:rPr>
        <w:t>ë barabartë në drejtësi për të gjithë</w:t>
      </w:r>
      <w:r>
        <w:rPr>
          <w:szCs w:val="22"/>
        </w:rPr>
        <w:t>”, si dhe target 16.7 “Sigurimi i</w:t>
      </w:r>
      <w:r w:rsidRPr="00CB7F5A">
        <w:rPr>
          <w:szCs w:val="22"/>
        </w:rPr>
        <w:t xml:space="preserve"> vendimmarrje</w:t>
      </w:r>
      <w:r>
        <w:rPr>
          <w:szCs w:val="22"/>
        </w:rPr>
        <w:t>s s</w:t>
      </w:r>
      <w:r w:rsidRPr="00CB7F5A">
        <w:rPr>
          <w:szCs w:val="22"/>
        </w:rPr>
        <w:t>ë përgjegjshme, gjithëpërfshirëse, pjesëmarrëse dhe përfaqësuese në të gjitha nivelet</w:t>
      </w:r>
      <w:r>
        <w:rPr>
          <w:szCs w:val="22"/>
        </w:rPr>
        <w:t>”.</w:t>
      </w:r>
    </w:p>
    <w:p w:rsidR="00D10CDB" w:rsidRPr="0005701D" w:rsidRDefault="00D10CDB" w:rsidP="00373DD2">
      <w:pPr>
        <w:spacing w:line="276" w:lineRule="auto"/>
        <w:jc w:val="both"/>
        <w:rPr>
          <w:b/>
          <w:szCs w:val="22"/>
        </w:rPr>
      </w:pPr>
      <w:r w:rsidRPr="0005701D">
        <w:rPr>
          <w:b/>
          <w:szCs w:val="22"/>
        </w:rPr>
        <w:lastRenderedPageBreak/>
        <w:t>e) Lidhja me Strategjin</w:t>
      </w:r>
      <w:r w:rsidR="00C31AC8">
        <w:rPr>
          <w:b/>
          <w:szCs w:val="22"/>
        </w:rPr>
        <w:t>ë</w:t>
      </w:r>
      <w:r w:rsidRPr="0005701D">
        <w:rPr>
          <w:b/>
          <w:szCs w:val="22"/>
        </w:rPr>
        <w:t xml:space="preserve"> Komb</w:t>
      </w:r>
      <w:r w:rsidR="00C31AC8">
        <w:rPr>
          <w:b/>
          <w:szCs w:val="22"/>
        </w:rPr>
        <w:t>ë</w:t>
      </w:r>
      <w:r w:rsidRPr="0005701D">
        <w:rPr>
          <w:b/>
          <w:szCs w:val="22"/>
        </w:rPr>
        <w:t>tare p</w:t>
      </w:r>
      <w:r w:rsidR="00C31AC8">
        <w:rPr>
          <w:b/>
          <w:szCs w:val="22"/>
        </w:rPr>
        <w:t>ë</w:t>
      </w:r>
      <w:r w:rsidRPr="0005701D">
        <w:rPr>
          <w:b/>
          <w:szCs w:val="22"/>
        </w:rPr>
        <w:t>r Barazin</w:t>
      </w:r>
      <w:r w:rsidR="00C31AC8">
        <w:rPr>
          <w:b/>
          <w:szCs w:val="22"/>
        </w:rPr>
        <w:t>ë</w:t>
      </w:r>
      <w:r w:rsidRPr="0005701D">
        <w:rPr>
          <w:b/>
          <w:szCs w:val="22"/>
        </w:rPr>
        <w:t xml:space="preserve"> Gjinore 2021 – 2030.</w:t>
      </w:r>
    </w:p>
    <w:p w:rsidR="00F20150" w:rsidRDefault="00D10CDB" w:rsidP="00373DD2">
      <w:pPr>
        <w:spacing w:line="276" w:lineRule="auto"/>
        <w:jc w:val="both"/>
        <w:rPr>
          <w:szCs w:val="22"/>
        </w:rPr>
      </w:pPr>
      <w:r>
        <w:rPr>
          <w:szCs w:val="22"/>
        </w:rPr>
        <w:t>Veprimet e parashikuara n</w:t>
      </w:r>
      <w:r w:rsidR="00C31AC8">
        <w:rPr>
          <w:szCs w:val="22"/>
        </w:rPr>
        <w:t>ë</w:t>
      </w:r>
      <w:r>
        <w:rPr>
          <w:szCs w:val="22"/>
        </w:rPr>
        <w:t xml:space="preserve"> “PKV LGBTI+ 2021 – 2027” h</w:t>
      </w:r>
      <w:r w:rsidR="00F20150">
        <w:rPr>
          <w:szCs w:val="22"/>
        </w:rPr>
        <w:t>armonizohen edhe me SKBGJ</w:t>
      </w:r>
      <w:r>
        <w:rPr>
          <w:szCs w:val="22"/>
        </w:rPr>
        <w:t xml:space="preserve"> 2021 – 2030, </w:t>
      </w:r>
      <w:r w:rsidR="00F20150">
        <w:rPr>
          <w:szCs w:val="22"/>
        </w:rPr>
        <w:t>miratuar n</w:t>
      </w:r>
      <w:r w:rsidR="00C31AC8">
        <w:rPr>
          <w:szCs w:val="22"/>
        </w:rPr>
        <w:t>ë</w:t>
      </w:r>
      <w:r w:rsidR="00F20150">
        <w:rPr>
          <w:szCs w:val="22"/>
        </w:rPr>
        <w:t xml:space="preserve"> qeshor 2021, konkretisht me:</w:t>
      </w:r>
    </w:p>
    <w:p w:rsidR="00F20150" w:rsidRDefault="00F20150" w:rsidP="00373DD2">
      <w:pPr>
        <w:spacing w:line="276" w:lineRule="auto"/>
        <w:jc w:val="both"/>
        <w:rPr>
          <w:szCs w:val="22"/>
        </w:rPr>
      </w:pPr>
      <w:r w:rsidRPr="00E233B4">
        <w:rPr>
          <w:b/>
          <w:i/>
          <w:szCs w:val="22"/>
        </w:rPr>
        <w:t>Q</w:t>
      </w:r>
      <w:r w:rsidR="00C31AC8" w:rsidRPr="00E233B4">
        <w:rPr>
          <w:b/>
          <w:i/>
          <w:szCs w:val="22"/>
        </w:rPr>
        <w:t>ë</w:t>
      </w:r>
      <w:r w:rsidRPr="00E233B4">
        <w:rPr>
          <w:b/>
          <w:i/>
          <w:szCs w:val="22"/>
        </w:rPr>
        <w:t>llimin strategjik I</w:t>
      </w:r>
      <w:r>
        <w:rPr>
          <w:szCs w:val="22"/>
        </w:rPr>
        <w:t xml:space="preserve">: </w:t>
      </w:r>
      <w:r w:rsidRPr="00F20150">
        <w:rPr>
          <w:szCs w:val="22"/>
        </w:rPr>
        <w:t xml:space="preserve">Përmbushja e të drejtave ekonomike dhe sociale për gratë, të rejat, vajzat dhe burrat, të rinjtë, djemtë në shoqëri dhe fuqizimi i grave, të rejave dhe vajzave </w:t>
      </w:r>
      <w:r w:rsidRPr="0005701D">
        <w:rPr>
          <w:b/>
          <w:szCs w:val="22"/>
        </w:rPr>
        <w:t>nga të gjithë grupet</w:t>
      </w:r>
      <w:r w:rsidRPr="00F20150">
        <w:rPr>
          <w:szCs w:val="22"/>
        </w:rPr>
        <w:t>, duke synuar një rritje dhe qendrueshmëri të ekonomisë mjedisore (së gjelbër), si dhe pjesëmarrjen e tyre të barabartë në dixhitalizim.</w:t>
      </w:r>
      <w:r w:rsidR="00D10CDB">
        <w:rPr>
          <w:szCs w:val="22"/>
        </w:rPr>
        <w:t xml:space="preserve"> </w:t>
      </w:r>
    </w:p>
    <w:p w:rsidR="00D10CDB" w:rsidRDefault="00F20150" w:rsidP="00373DD2">
      <w:pPr>
        <w:spacing w:line="276" w:lineRule="auto"/>
        <w:jc w:val="both"/>
        <w:rPr>
          <w:szCs w:val="22"/>
        </w:rPr>
      </w:pPr>
      <w:r w:rsidRPr="00E233B4">
        <w:rPr>
          <w:b/>
          <w:i/>
          <w:szCs w:val="22"/>
        </w:rPr>
        <w:t>Q</w:t>
      </w:r>
      <w:r w:rsidR="00C31AC8" w:rsidRPr="00E233B4">
        <w:rPr>
          <w:b/>
          <w:i/>
          <w:szCs w:val="22"/>
        </w:rPr>
        <w:t>ë</w:t>
      </w:r>
      <w:r w:rsidRPr="00E233B4">
        <w:rPr>
          <w:b/>
          <w:i/>
          <w:szCs w:val="22"/>
        </w:rPr>
        <w:t>llimin strategjik II</w:t>
      </w:r>
      <w:r>
        <w:rPr>
          <w:szCs w:val="22"/>
        </w:rPr>
        <w:t xml:space="preserve">: </w:t>
      </w:r>
      <w:r w:rsidRPr="00F20150">
        <w:rPr>
          <w:szCs w:val="22"/>
        </w:rPr>
        <w:t xml:space="preserve">Përmbushja e të drejtave të grave dhe burrave, të rejave dhe të rinjve, vajzave dhe djemve </w:t>
      </w:r>
      <w:r w:rsidRPr="0005701D">
        <w:rPr>
          <w:b/>
          <w:szCs w:val="22"/>
        </w:rPr>
        <w:t>nga të gjitha grupet</w:t>
      </w:r>
      <w:r w:rsidRPr="00F20150">
        <w:rPr>
          <w:szCs w:val="22"/>
        </w:rPr>
        <w:t>, për pjesëmarrje, përfaqësim dhe udhëheqje të barabartë në vendimmarrjen politike e publike në nivel vendor.</w:t>
      </w:r>
    </w:p>
    <w:p w:rsidR="00F20150" w:rsidRDefault="00F20150" w:rsidP="00373DD2">
      <w:pPr>
        <w:spacing w:line="276" w:lineRule="auto"/>
        <w:jc w:val="both"/>
        <w:rPr>
          <w:szCs w:val="22"/>
        </w:rPr>
      </w:pPr>
      <w:r w:rsidRPr="00E233B4">
        <w:rPr>
          <w:b/>
          <w:i/>
          <w:szCs w:val="22"/>
        </w:rPr>
        <w:t>Q</w:t>
      </w:r>
      <w:r w:rsidR="00C31AC8" w:rsidRPr="00E233B4">
        <w:rPr>
          <w:b/>
          <w:i/>
          <w:szCs w:val="22"/>
        </w:rPr>
        <w:t>ë</w:t>
      </w:r>
      <w:r w:rsidRPr="00E233B4">
        <w:rPr>
          <w:b/>
          <w:i/>
          <w:szCs w:val="22"/>
        </w:rPr>
        <w:t>llimin strategjik III</w:t>
      </w:r>
      <w:r>
        <w:rPr>
          <w:szCs w:val="22"/>
        </w:rPr>
        <w:t xml:space="preserve">: </w:t>
      </w:r>
      <w:r w:rsidRPr="00F20150">
        <w:rPr>
          <w:szCs w:val="22"/>
        </w:rPr>
        <w:t>Zvogëlimi i të gjitha formave të praktikave të dëmshme, dhunës me bazë gjinore dhe dhunës në familje.</w:t>
      </w:r>
      <w:r>
        <w:rPr>
          <w:szCs w:val="22"/>
        </w:rPr>
        <w:t xml:space="preserve"> </w:t>
      </w:r>
    </w:p>
    <w:p w:rsidR="00F20150" w:rsidRDefault="00C31AC8" w:rsidP="00373DD2">
      <w:pPr>
        <w:spacing w:line="276" w:lineRule="auto"/>
        <w:jc w:val="both"/>
      </w:pPr>
      <w:r>
        <w:rPr>
          <w:szCs w:val="22"/>
        </w:rPr>
        <w:t>Siç theksohet edhe në vetë dokumentin e SKBGJ 2021 – 2030, për shkak të natyrës së ndërthurur (cross-cutting) të çështjeve gjinore, kudo në tekst ku haset formulimi “</w:t>
      </w:r>
      <w:r w:rsidRPr="0005701D">
        <w:rPr>
          <w:b/>
          <w:szCs w:val="22"/>
        </w:rPr>
        <w:t>nga t</w:t>
      </w:r>
      <w:r>
        <w:rPr>
          <w:b/>
          <w:szCs w:val="22"/>
        </w:rPr>
        <w:t>ë</w:t>
      </w:r>
      <w:r w:rsidRPr="0005701D">
        <w:rPr>
          <w:b/>
          <w:szCs w:val="22"/>
        </w:rPr>
        <w:t xml:space="preserve"> gjith</w:t>
      </w:r>
      <w:r>
        <w:rPr>
          <w:b/>
          <w:szCs w:val="22"/>
        </w:rPr>
        <w:t>ë</w:t>
      </w:r>
      <w:r w:rsidRPr="0005701D">
        <w:rPr>
          <w:b/>
          <w:szCs w:val="22"/>
        </w:rPr>
        <w:t xml:space="preserve"> grupet”</w:t>
      </w:r>
      <w:r>
        <w:rPr>
          <w:szCs w:val="22"/>
        </w:rPr>
        <w:t xml:space="preserve"> pra si në qëllimet strategjike të sipërcituara, edhe në objektivat specifike, masat dhe aktivitetet e tyre, </w:t>
      </w:r>
      <w:r>
        <w:t xml:space="preserve">do të nënkuptohet: </w:t>
      </w:r>
      <w:r w:rsidRPr="0005701D">
        <w:rPr>
          <w:i/>
        </w:rPr>
        <w:t xml:space="preserve">nga zonat rurale, minoritetet etnike, me aftësi të kufizuara, </w:t>
      </w:r>
      <w:r w:rsidRPr="0005701D">
        <w:rPr>
          <w:b/>
          <w:i/>
        </w:rPr>
        <w:t>LBTI+</w:t>
      </w:r>
      <w:r w:rsidRPr="0005701D">
        <w:rPr>
          <w:i/>
        </w:rPr>
        <w:t>, të moshuara, nëna të vetme, të mbijetuara të dhunës/trafikimit, vajza nëna, migrante dhe azilkërkuese, etj</w:t>
      </w:r>
      <w:r>
        <w:t>. Prandaj, zbatimi i aktiviteteve të parashikuara në secilin prej këtyre dy dokumentave ndikon në mënyrë të ndërsjellë dhe ndihmon në avancimin e çështjeve LGBTI+, si në terma ndërgjegjësimi dhe krijimi të një shoqërie pranuese e gjithëpërfshirëse, ashtu edhe kur flitet për profesioniste e profesionistë të trajnuar dhe shërbime mbështetëse të specializuara të disponueshme e cilësore, në pë</w:t>
      </w:r>
      <w:r w:rsidR="00C158B6">
        <w:t>r</w:t>
      </w:r>
      <w:r>
        <w:t>puthje me nevojat specifike të personave LGBTI+.</w:t>
      </w:r>
    </w:p>
    <w:p w:rsidR="00C31AC8" w:rsidRPr="00373DD2" w:rsidRDefault="00C31AC8" w:rsidP="00373DD2">
      <w:pPr>
        <w:spacing w:line="276" w:lineRule="auto"/>
        <w:jc w:val="both"/>
        <w:rPr>
          <w:szCs w:val="22"/>
        </w:rPr>
      </w:pPr>
    </w:p>
    <w:p w:rsidR="00C158B6" w:rsidRPr="00373DD2" w:rsidRDefault="00C31AC8" w:rsidP="00373DD2">
      <w:pPr>
        <w:spacing w:line="276" w:lineRule="auto"/>
        <w:jc w:val="both"/>
        <w:rPr>
          <w:szCs w:val="22"/>
        </w:rPr>
      </w:pPr>
      <w:r w:rsidRPr="0005701D">
        <w:rPr>
          <w:b/>
          <w:szCs w:val="22"/>
        </w:rPr>
        <w:t xml:space="preserve">f) Lidhja me </w:t>
      </w:r>
      <w:r w:rsidR="00C158B6" w:rsidRPr="0005701D">
        <w:rPr>
          <w:b/>
          <w:szCs w:val="22"/>
        </w:rPr>
        <w:t>Strategjinë e Komisionit Evropian “Bashkimi i Barazisë: Strategjia e Barazisë për LGBTIQ 2020-2025”</w:t>
      </w:r>
    </w:p>
    <w:p w:rsidR="00C158B6" w:rsidRDefault="00C158B6" w:rsidP="00373DD2">
      <w:pPr>
        <w:spacing w:line="276" w:lineRule="auto"/>
        <w:jc w:val="both"/>
        <w:rPr>
          <w:szCs w:val="22"/>
        </w:rPr>
      </w:pPr>
      <w:r>
        <w:rPr>
          <w:szCs w:val="22"/>
        </w:rPr>
        <w:t xml:space="preserve">“PKV LGBTI+ 2021 – 2027” harmonizohet edhe me </w:t>
      </w:r>
      <w:r w:rsidRPr="00C158B6">
        <w:rPr>
          <w:szCs w:val="22"/>
        </w:rPr>
        <w:t>Strategjinë e Komisionit Evropian “Bashkimi i Barazisë: Strategjia e Barazisë për LGBTIQ 2020-2025”</w:t>
      </w:r>
      <w:r>
        <w:rPr>
          <w:szCs w:val="22"/>
        </w:rPr>
        <w:t>. Ky harmonizim v</w:t>
      </w:r>
      <w:r w:rsidR="00904465">
        <w:rPr>
          <w:szCs w:val="22"/>
        </w:rPr>
        <w:t>ë</w:t>
      </w:r>
      <w:r>
        <w:rPr>
          <w:szCs w:val="22"/>
        </w:rPr>
        <w:t>rehet kryesisht n</w:t>
      </w:r>
      <w:r w:rsidR="00904465">
        <w:rPr>
          <w:szCs w:val="22"/>
        </w:rPr>
        <w:t>ë</w:t>
      </w:r>
      <w:r>
        <w:rPr>
          <w:szCs w:val="22"/>
        </w:rPr>
        <w:t>:</w:t>
      </w:r>
    </w:p>
    <w:p w:rsidR="00C158B6" w:rsidRDefault="00C158B6" w:rsidP="00373DD2">
      <w:pPr>
        <w:spacing w:line="276" w:lineRule="auto"/>
        <w:jc w:val="both"/>
        <w:rPr>
          <w:szCs w:val="22"/>
        </w:rPr>
      </w:pPr>
      <w:r w:rsidRPr="00E233B4">
        <w:rPr>
          <w:b/>
          <w:i/>
          <w:szCs w:val="22"/>
        </w:rPr>
        <w:t>Shtyll</w:t>
      </w:r>
      <w:r w:rsidR="00904465" w:rsidRPr="00E233B4">
        <w:rPr>
          <w:b/>
          <w:i/>
          <w:szCs w:val="22"/>
        </w:rPr>
        <w:t>ë</w:t>
      </w:r>
      <w:r w:rsidRPr="00E233B4">
        <w:rPr>
          <w:b/>
          <w:i/>
          <w:szCs w:val="22"/>
        </w:rPr>
        <w:t>n 1 “</w:t>
      </w:r>
      <w:r w:rsidR="00E233B4">
        <w:rPr>
          <w:b/>
          <w:i/>
          <w:szCs w:val="22"/>
        </w:rPr>
        <w:t>Ndalimi</w:t>
      </w:r>
      <w:r w:rsidRPr="00E233B4">
        <w:rPr>
          <w:b/>
          <w:i/>
          <w:szCs w:val="22"/>
        </w:rPr>
        <w:t xml:space="preserve"> i diskriminimit ndaj personave LGBTIQ”</w:t>
      </w:r>
      <w:r>
        <w:rPr>
          <w:szCs w:val="22"/>
        </w:rPr>
        <w:t>, e n</w:t>
      </w:r>
      <w:r w:rsidR="00904465">
        <w:rPr>
          <w:szCs w:val="22"/>
        </w:rPr>
        <w:t>ë</w:t>
      </w:r>
      <w:r>
        <w:rPr>
          <w:szCs w:val="22"/>
        </w:rPr>
        <w:t xml:space="preserve"> m</w:t>
      </w:r>
      <w:r w:rsidR="00904465">
        <w:rPr>
          <w:szCs w:val="22"/>
        </w:rPr>
        <w:t>ë</w:t>
      </w:r>
      <w:r>
        <w:rPr>
          <w:szCs w:val="22"/>
        </w:rPr>
        <w:t>nyr</w:t>
      </w:r>
      <w:r w:rsidR="00904465">
        <w:rPr>
          <w:szCs w:val="22"/>
        </w:rPr>
        <w:t>ë</w:t>
      </w:r>
      <w:r>
        <w:rPr>
          <w:szCs w:val="22"/>
        </w:rPr>
        <w:t xml:space="preserve"> specifike n</w:t>
      </w:r>
      <w:r w:rsidR="00904465">
        <w:rPr>
          <w:szCs w:val="22"/>
        </w:rPr>
        <w:t>ë</w:t>
      </w:r>
      <w:r>
        <w:rPr>
          <w:szCs w:val="22"/>
        </w:rPr>
        <w:t xml:space="preserve"> 1.1.</w:t>
      </w:r>
      <w:r w:rsidRPr="00C158B6">
        <w:t xml:space="preserve"> </w:t>
      </w:r>
      <w:r w:rsidRPr="00C158B6">
        <w:rPr>
          <w:szCs w:val="22"/>
        </w:rPr>
        <w:t>Zbatimi dhe përmirësimi i mbrojtjes ligjore kundër diskriminimit</w:t>
      </w:r>
      <w:r>
        <w:rPr>
          <w:szCs w:val="22"/>
        </w:rPr>
        <w:t xml:space="preserve">; 1.2. </w:t>
      </w:r>
      <w:r w:rsidRPr="00C158B6">
        <w:rPr>
          <w:szCs w:val="22"/>
        </w:rPr>
        <w:t>Promovimi i përfshirjes dhe diversitetit në vendin e punës</w:t>
      </w:r>
      <w:r>
        <w:rPr>
          <w:szCs w:val="22"/>
        </w:rPr>
        <w:t xml:space="preserve">; </w:t>
      </w:r>
      <w:r w:rsidRPr="00C158B6" w:rsidDel="00CB7F5A">
        <w:rPr>
          <w:szCs w:val="22"/>
        </w:rPr>
        <w:t xml:space="preserve"> </w:t>
      </w:r>
      <w:r>
        <w:rPr>
          <w:szCs w:val="22"/>
        </w:rPr>
        <w:t xml:space="preserve">1.3. </w:t>
      </w:r>
      <w:r w:rsidRPr="00C158B6">
        <w:rPr>
          <w:szCs w:val="22"/>
        </w:rPr>
        <w:t>Luftimi i pabarazisë në arsim, shëndetësi, kulturë dhe sport</w:t>
      </w:r>
      <w:r>
        <w:rPr>
          <w:szCs w:val="22"/>
        </w:rPr>
        <w:t xml:space="preserve">. </w:t>
      </w:r>
    </w:p>
    <w:p w:rsidR="00904465" w:rsidRDefault="00C158B6" w:rsidP="00373DD2">
      <w:pPr>
        <w:spacing w:line="276" w:lineRule="auto"/>
        <w:jc w:val="both"/>
        <w:rPr>
          <w:szCs w:val="22"/>
        </w:rPr>
      </w:pPr>
      <w:r w:rsidRPr="00E233B4">
        <w:rPr>
          <w:b/>
          <w:i/>
          <w:szCs w:val="22"/>
        </w:rPr>
        <w:t>Shtyll</w:t>
      </w:r>
      <w:r w:rsidR="00904465" w:rsidRPr="00E233B4">
        <w:rPr>
          <w:b/>
          <w:i/>
          <w:szCs w:val="22"/>
        </w:rPr>
        <w:t>ë</w:t>
      </w:r>
      <w:r w:rsidRPr="00E233B4">
        <w:rPr>
          <w:b/>
          <w:i/>
          <w:szCs w:val="22"/>
        </w:rPr>
        <w:t xml:space="preserve">n </w:t>
      </w:r>
      <w:r w:rsidR="00DE6071" w:rsidRPr="00E233B4">
        <w:rPr>
          <w:b/>
          <w:i/>
          <w:szCs w:val="22"/>
        </w:rPr>
        <w:t xml:space="preserve">2 “Garantimi </w:t>
      </w:r>
      <w:r w:rsidR="00904465" w:rsidRPr="00E233B4">
        <w:rPr>
          <w:b/>
          <w:i/>
          <w:szCs w:val="22"/>
        </w:rPr>
        <w:t>i sigurisë për personat LGBTIQ”</w:t>
      </w:r>
      <w:r w:rsidR="00904465">
        <w:rPr>
          <w:szCs w:val="22"/>
        </w:rPr>
        <w:t>, e në mënyrë specifike në 2.1 “</w:t>
      </w:r>
      <w:r w:rsidR="00904465" w:rsidRPr="00904465">
        <w:rPr>
          <w:szCs w:val="22"/>
        </w:rPr>
        <w:t>Përforcimi i mbrojtjes ligjore për personat LGBTIQ kundër krimit të urrejtjes, gjuhës së urrejtjes dhe dhunës</w:t>
      </w:r>
      <w:r w:rsidR="00904465">
        <w:rPr>
          <w:szCs w:val="22"/>
        </w:rPr>
        <w:t xml:space="preserve">”; </w:t>
      </w:r>
    </w:p>
    <w:p w:rsidR="00904465" w:rsidRDefault="00904465" w:rsidP="00373DD2">
      <w:pPr>
        <w:spacing w:line="276" w:lineRule="auto"/>
        <w:jc w:val="both"/>
        <w:rPr>
          <w:szCs w:val="22"/>
        </w:rPr>
      </w:pPr>
      <w:r w:rsidRPr="00E233B4">
        <w:rPr>
          <w:b/>
          <w:i/>
          <w:szCs w:val="22"/>
        </w:rPr>
        <w:t>Shtyllën 3: “Ndërtimi i shoqërisë gjithëpërfshirëse për personat LGBTIQ”,</w:t>
      </w:r>
      <w:r>
        <w:rPr>
          <w:szCs w:val="22"/>
        </w:rPr>
        <w:t xml:space="preserve"> e në mënyrë specifike me 3.3 “</w:t>
      </w:r>
      <w:r w:rsidRPr="00904465">
        <w:rPr>
          <w:szCs w:val="22"/>
        </w:rPr>
        <w:t xml:space="preserve">Përmirësimi i njohjes së identiteteve trans dhe jo binare, </w:t>
      </w:r>
      <w:r>
        <w:rPr>
          <w:szCs w:val="22"/>
        </w:rPr>
        <w:t xml:space="preserve">si </w:t>
      </w:r>
      <w:r w:rsidRPr="00904465">
        <w:rPr>
          <w:szCs w:val="22"/>
        </w:rPr>
        <w:t xml:space="preserve">dhe </w:t>
      </w:r>
      <w:r>
        <w:rPr>
          <w:szCs w:val="22"/>
        </w:rPr>
        <w:t>i personave interseks”</w:t>
      </w:r>
    </w:p>
    <w:p w:rsidR="00F319EE" w:rsidRDefault="00F319EE" w:rsidP="00373DD2">
      <w:pPr>
        <w:spacing w:line="276" w:lineRule="auto"/>
        <w:jc w:val="both"/>
        <w:rPr>
          <w:szCs w:val="22"/>
        </w:rPr>
      </w:pPr>
    </w:p>
    <w:p w:rsidR="00FF435C" w:rsidRPr="001B1D14" w:rsidRDefault="00FF435C" w:rsidP="00373DD2">
      <w:pPr>
        <w:spacing w:line="276" w:lineRule="auto"/>
        <w:jc w:val="both"/>
        <w:rPr>
          <w:szCs w:val="22"/>
        </w:rPr>
      </w:pPr>
    </w:p>
    <w:p w:rsidR="00A37B5F" w:rsidRPr="008551B5" w:rsidRDefault="00DF4EC4" w:rsidP="008551B5">
      <w:pPr>
        <w:pStyle w:val="Heading2"/>
        <w:shd w:val="clear" w:color="auto" w:fill="99FFCC"/>
        <w:spacing w:before="0" w:line="276" w:lineRule="auto"/>
        <w:rPr>
          <w:rStyle w:val="Emphasis"/>
          <w:rFonts w:ascii="Times New Roman" w:hAnsi="Times New Roman"/>
          <w:i w:val="0"/>
          <w:smallCaps/>
          <w:color w:val="FF00FF"/>
          <w:spacing w:val="15"/>
          <w:sz w:val="24"/>
          <w:szCs w:val="24"/>
        </w:rPr>
      </w:pPr>
      <w:bookmarkStart w:id="8" w:name="_Toc79509621"/>
      <w:r w:rsidRPr="008551B5">
        <w:rPr>
          <w:rFonts w:ascii="Times New Roman" w:hAnsi="Times New Roman"/>
          <w:iCs/>
          <w:color w:val="FF00FF"/>
          <w:sz w:val="24"/>
          <w:szCs w:val="24"/>
        </w:rPr>
        <w:t xml:space="preserve">3. </w:t>
      </w:r>
      <w:r w:rsidR="003E56C1" w:rsidRPr="008551B5">
        <w:rPr>
          <w:rFonts w:ascii="Times New Roman" w:hAnsi="Times New Roman"/>
          <w:iCs/>
          <w:color w:val="FF00FF"/>
          <w:sz w:val="24"/>
          <w:szCs w:val="24"/>
        </w:rPr>
        <w:t>Arritjet</w:t>
      </w:r>
      <w:r w:rsidR="00A7304F" w:rsidRPr="008551B5">
        <w:rPr>
          <w:rFonts w:ascii="Times New Roman" w:hAnsi="Times New Roman"/>
          <w:iCs/>
          <w:color w:val="FF00FF"/>
          <w:sz w:val="24"/>
          <w:szCs w:val="24"/>
        </w:rPr>
        <w:t>, Analiza dhe Sfidat</w:t>
      </w:r>
      <w:bookmarkStart w:id="9" w:name="_Toc413916595"/>
      <w:r w:rsidR="007A2A38" w:rsidRPr="008551B5">
        <w:rPr>
          <w:rFonts w:ascii="Times New Roman" w:hAnsi="Times New Roman"/>
          <w:iCs/>
          <w:color w:val="FF00FF"/>
          <w:sz w:val="24"/>
          <w:szCs w:val="24"/>
        </w:rPr>
        <w:t>.</w:t>
      </w:r>
      <w:bookmarkEnd w:id="8"/>
    </w:p>
    <w:p w:rsidR="00904465" w:rsidRDefault="00904465" w:rsidP="0088544A">
      <w:pPr>
        <w:pStyle w:val="NoSpacing"/>
        <w:spacing w:line="276" w:lineRule="auto"/>
        <w:jc w:val="both"/>
        <w:rPr>
          <w:rFonts w:ascii="Times New Roman" w:hAnsi="Times New Roman" w:cs="Times New Roman"/>
        </w:rPr>
      </w:pPr>
      <w:bookmarkStart w:id="10" w:name="_Toc442265920"/>
      <w:bookmarkStart w:id="11" w:name="_Toc442266637"/>
      <w:bookmarkStart w:id="12" w:name="_Toc429231993"/>
      <w:bookmarkStart w:id="13" w:name="_Toc429308330"/>
      <w:bookmarkStart w:id="14" w:name="_Toc429314833"/>
      <w:bookmarkStart w:id="15" w:name="_Toc429315084"/>
      <w:bookmarkStart w:id="16" w:name="_Toc431753934"/>
      <w:bookmarkEnd w:id="9"/>
    </w:p>
    <w:p w:rsidR="005D6872" w:rsidRDefault="00904465" w:rsidP="0088544A">
      <w:pPr>
        <w:pStyle w:val="NoSpacing"/>
        <w:spacing w:line="276" w:lineRule="auto"/>
        <w:jc w:val="both"/>
        <w:rPr>
          <w:rFonts w:ascii="Times New Roman" w:hAnsi="Times New Roman" w:cs="Times New Roman"/>
        </w:rPr>
      </w:pPr>
      <w:r>
        <w:rPr>
          <w:rFonts w:ascii="Times New Roman" w:hAnsi="Times New Roman" w:cs="Times New Roman"/>
        </w:rPr>
        <w:t>Situata n</w:t>
      </w:r>
      <w:r w:rsidR="0051477D">
        <w:rPr>
          <w:rFonts w:ascii="Times New Roman" w:hAnsi="Times New Roman" w:cs="Times New Roman"/>
        </w:rPr>
        <w:t>ë</w:t>
      </w:r>
      <w:r>
        <w:rPr>
          <w:rFonts w:ascii="Times New Roman" w:hAnsi="Times New Roman" w:cs="Times New Roman"/>
        </w:rPr>
        <w:t xml:space="preserve"> lidhje me t</w:t>
      </w:r>
      <w:r w:rsidR="0051477D">
        <w:rPr>
          <w:rFonts w:ascii="Times New Roman" w:hAnsi="Times New Roman" w:cs="Times New Roman"/>
        </w:rPr>
        <w:t>ë</w:t>
      </w:r>
      <w:r>
        <w:rPr>
          <w:rFonts w:ascii="Times New Roman" w:hAnsi="Times New Roman" w:cs="Times New Roman"/>
        </w:rPr>
        <w:t xml:space="preserve"> drejtat dhe trajtimin e personave LGBTI+ n</w:t>
      </w:r>
      <w:r w:rsidR="0051477D">
        <w:rPr>
          <w:rFonts w:ascii="Times New Roman" w:hAnsi="Times New Roman" w:cs="Times New Roman"/>
        </w:rPr>
        <w:t>ë</w:t>
      </w:r>
      <w:r>
        <w:rPr>
          <w:rFonts w:ascii="Times New Roman" w:hAnsi="Times New Roman" w:cs="Times New Roman"/>
        </w:rPr>
        <w:t xml:space="preserve"> Shqip</w:t>
      </w:r>
      <w:r w:rsidR="0051477D">
        <w:rPr>
          <w:rFonts w:ascii="Times New Roman" w:hAnsi="Times New Roman" w:cs="Times New Roman"/>
        </w:rPr>
        <w:t>ë</w:t>
      </w:r>
      <w:r>
        <w:rPr>
          <w:rFonts w:ascii="Times New Roman" w:hAnsi="Times New Roman" w:cs="Times New Roman"/>
        </w:rPr>
        <w:t xml:space="preserve">ri vitet e fundit ka </w:t>
      </w:r>
      <w:r>
        <w:rPr>
          <w:rFonts w:ascii="Times New Roman" w:hAnsi="Times New Roman" w:cs="Times New Roman"/>
        </w:rPr>
        <w:lastRenderedPageBreak/>
        <w:t>sh</w:t>
      </w:r>
      <w:r w:rsidR="0051477D">
        <w:rPr>
          <w:rFonts w:ascii="Times New Roman" w:hAnsi="Times New Roman" w:cs="Times New Roman"/>
        </w:rPr>
        <w:t>ë</w:t>
      </w:r>
      <w:r>
        <w:rPr>
          <w:rFonts w:ascii="Times New Roman" w:hAnsi="Times New Roman" w:cs="Times New Roman"/>
        </w:rPr>
        <w:t>nuar p</w:t>
      </w:r>
      <w:r w:rsidR="0051477D">
        <w:rPr>
          <w:rFonts w:ascii="Times New Roman" w:hAnsi="Times New Roman" w:cs="Times New Roman"/>
        </w:rPr>
        <w:t>ë</w:t>
      </w:r>
      <w:r>
        <w:rPr>
          <w:rFonts w:ascii="Times New Roman" w:hAnsi="Times New Roman" w:cs="Times New Roman"/>
        </w:rPr>
        <w:t>rmir</w:t>
      </w:r>
      <w:r w:rsidR="0051477D">
        <w:rPr>
          <w:rFonts w:ascii="Times New Roman" w:hAnsi="Times New Roman" w:cs="Times New Roman"/>
        </w:rPr>
        <w:t>ë</w:t>
      </w:r>
      <w:r>
        <w:rPr>
          <w:rFonts w:ascii="Times New Roman" w:hAnsi="Times New Roman" w:cs="Times New Roman"/>
        </w:rPr>
        <w:t>sime t</w:t>
      </w:r>
      <w:r w:rsidR="0051477D">
        <w:rPr>
          <w:rFonts w:ascii="Times New Roman" w:hAnsi="Times New Roman" w:cs="Times New Roman"/>
        </w:rPr>
        <w:t>ë</w:t>
      </w:r>
      <w:r>
        <w:rPr>
          <w:rFonts w:ascii="Times New Roman" w:hAnsi="Times New Roman" w:cs="Times New Roman"/>
        </w:rPr>
        <w:t xml:space="preserve"> ndjeshme</w:t>
      </w:r>
      <w:r w:rsidR="0051477D">
        <w:rPr>
          <w:rFonts w:ascii="Times New Roman" w:hAnsi="Times New Roman" w:cs="Times New Roman"/>
        </w:rPr>
        <w:t xml:space="preserve">. </w:t>
      </w:r>
    </w:p>
    <w:p w:rsidR="00F319EE" w:rsidRDefault="00F319EE" w:rsidP="00F319EE">
      <w:pPr>
        <w:pStyle w:val="NoSpacing"/>
        <w:spacing w:line="276" w:lineRule="auto"/>
        <w:jc w:val="both"/>
        <w:rPr>
          <w:rFonts w:ascii="Times New Roman" w:hAnsi="Times New Roman" w:cs="Times New Roman"/>
        </w:rPr>
      </w:pPr>
      <w:r w:rsidRPr="00BD4B41">
        <w:rPr>
          <w:rFonts w:ascii="Times New Roman" w:hAnsi="Times New Roman" w:cs="Times New Roman"/>
          <w:b/>
        </w:rPr>
        <w:t>Raporti i ILGA Evropë mbi Rishikimin Vjetor të Situatës së të Drejtave Njerëzore të LGBTI – kapitulli për Shqipërinë (2021)</w:t>
      </w:r>
      <w:r>
        <w:rPr>
          <w:rFonts w:ascii="Times New Roman" w:hAnsi="Times New Roman" w:cs="Times New Roman"/>
          <w:b/>
        </w:rPr>
        <w:t xml:space="preserve">, </w:t>
      </w:r>
      <w:r>
        <w:rPr>
          <w:rFonts w:ascii="Times New Roman" w:hAnsi="Times New Roman" w:cs="Times New Roman"/>
        </w:rPr>
        <w:t>e rendit Shqipërinë  në vendin e 27 me një pikëzim prej 33.2%</w:t>
      </w:r>
      <w:r w:rsidRPr="003F1EFF">
        <w:rPr>
          <w:rFonts w:ascii="Times New Roman" w:hAnsi="Times New Roman" w:cs="Times New Roman"/>
        </w:rPr>
        <w:t xml:space="preserve"> </w:t>
      </w:r>
      <w:r>
        <w:rPr>
          <w:rFonts w:ascii="Times New Roman" w:hAnsi="Times New Roman" w:cs="Times New Roman"/>
        </w:rPr>
        <w:t xml:space="preserve">nga 49 vende gjithsej, në tërësinë e fushave që vlerëson sa i takon respektimit dhe mbrojtjes së të drejtave njerëzore të personave LGBTI+. Në ndarjen sipas fushave Shqipëria klasifikohet si në vijim: </w:t>
      </w:r>
    </w:p>
    <w:p w:rsidR="00F319EE" w:rsidRDefault="00F319EE" w:rsidP="00F319EE">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barazia dhe mosdiskriminimi – në vendin e 13 me  pikëzim 56.92%</w:t>
      </w:r>
    </w:p>
    <w:p w:rsidR="00F319EE" w:rsidRDefault="00E233B4" w:rsidP="00F319EE">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 xml:space="preserve">familja - në vendin e 38 me </w:t>
      </w:r>
      <w:r w:rsidR="00F319EE">
        <w:rPr>
          <w:rFonts w:ascii="Times New Roman" w:hAnsi="Times New Roman" w:cs="Times New Roman"/>
        </w:rPr>
        <w:t>pikëzim 3.75%</w:t>
      </w:r>
    </w:p>
    <w:p w:rsidR="00F319EE" w:rsidRDefault="00F319EE" w:rsidP="00F319EE">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gjuha dhe krimet e urrejtjes - në vendin e 7 me  pikëzim 51.2%</w:t>
      </w:r>
    </w:p>
    <w:p w:rsidR="00F319EE" w:rsidRDefault="00F319EE" w:rsidP="00F319EE">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njohja ligjore e përckatimit të gjinisë dhe integritetit trupor – në vendin e 43 me 0%</w:t>
      </w:r>
    </w:p>
    <w:p w:rsidR="00F319EE" w:rsidRDefault="00F319EE" w:rsidP="00F319EE">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hapësira dedikuar shoqërisë civile – në vendin e 1 me 99.75%</w:t>
      </w:r>
    </w:p>
    <w:p w:rsidR="00F319EE" w:rsidRDefault="00F319EE" w:rsidP="00F319EE">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azili – në vendin e 35 me 0%</w:t>
      </w:r>
    </w:p>
    <w:p w:rsidR="00F319EE" w:rsidRDefault="00F319EE" w:rsidP="0088544A">
      <w:pPr>
        <w:pStyle w:val="NoSpacing"/>
        <w:spacing w:line="276" w:lineRule="auto"/>
        <w:jc w:val="both"/>
        <w:rPr>
          <w:rFonts w:ascii="Times New Roman" w:hAnsi="Times New Roman" w:cs="Times New Roman"/>
        </w:rPr>
      </w:pPr>
    </w:p>
    <w:p w:rsidR="009D285D" w:rsidRDefault="00E142B9" w:rsidP="005D6872">
      <w:pPr>
        <w:pStyle w:val="NoSpacing"/>
        <w:spacing w:line="276" w:lineRule="auto"/>
        <w:jc w:val="both"/>
        <w:rPr>
          <w:rFonts w:ascii="Times New Roman" w:hAnsi="Times New Roman" w:cs="Times New Roman"/>
        </w:rPr>
      </w:pPr>
      <w:r w:rsidRPr="005D6872">
        <w:rPr>
          <w:rFonts w:ascii="Times New Roman" w:hAnsi="Times New Roman" w:cs="Times New Roman"/>
        </w:rPr>
        <w:t>N</w:t>
      </w:r>
      <w:r w:rsidR="009C264E" w:rsidRPr="005D6872">
        <w:rPr>
          <w:rFonts w:ascii="Times New Roman" w:hAnsi="Times New Roman" w:cs="Times New Roman"/>
        </w:rPr>
        <w:t>ë</w:t>
      </w:r>
      <w:r w:rsidRPr="005D6872">
        <w:rPr>
          <w:rFonts w:ascii="Times New Roman" w:hAnsi="Times New Roman" w:cs="Times New Roman"/>
        </w:rPr>
        <w:t xml:space="preserve"> </w:t>
      </w:r>
      <w:r w:rsidRPr="0005701D">
        <w:rPr>
          <w:rFonts w:ascii="Times New Roman" w:hAnsi="Times New Roman" w:cs="Times New Roman"/>
          <w:b/>
        </w:rPr>
        <w:t>Raportin e gjasht</w:t>
      </w:r>
      <w:r w:rsidR="009C264E" w:rsidRPr="0005701D">
        <w:rPr>
          <w:rFonts w:ascii="Times New Roman" w:hAnsi="Times New Roman" w:cs="Times New Roman"/>
          <w:b/>
        </w:rPr>
        <w:t>ë</w:t>
      </w:r>
      <w:r w:rsidRPr="0005701D">
        <w:rPr>
          <w:rFonts w:ascii="Times New Roman" w:hAnsi="Times New Roman" w:cs="Times New Roman"/>
          <w:b/>
        </w:rPr>
        <w:t xml:space="preserve"> t</w:t>
      </w:r>
      <w:r w:rsidR="009C264E" w:rsidRPr="0005701D">
        <w:rPr>
          <w:rFonts w:ascii="Times New Roman" w:hAnsi="Times New Roman" w:cs="Times New Roman"/>
          <w:b/>
        </w:rPr>
        <w:t>ë</w:t>
      </w:r>
      <w:r w:rsidRPr="0005701D">
        <w:rPr>
          <w:rFonts w:ascii="Times New Roman" w:hAnsi="Times New Roman" w:cs="Times New Roman"/>
          <w:b/>
        </w:rPr>
        <w:t xml:space="preserve"> Komisionit Evropian kundër Racizmit dhe Intolerancës (ECRI) p</w:t>
      </w:r>
      <w:r w:rsidR="009C264E" w:rsidRPr="0005701D">
        <w:rPr>
          <w:rFonts w:ascii="Times New Roman" w:hAnsi="Times New Roman" w:cs="Times New Roman"/>
          <w:b/>
        </w:rPr>
        <w:t>ë</w:t>
      </w:r>
      <w:r w:rsidRPr="0005701D">
        <w:rPr>
          <w:rFonts w:ascii="Times New Roman" w:hAnsi="Times New Roman" w:cs="Times New Roman"/>
          <w:b/>
        </w:rPr>
        <w:t>r Shqip</w:t>
      </w:r>
      <w:r w:rsidR="009C264E" w:rsidRPr="0005701D">
        <w:rPr>
          <w:rFonts w:ascii="Times New Roman" w:hAnsi="Times New Roman" w:cs="Times New Roman"/>
          <w:b/>
        </w:rPr>
        <w:t>ë</w:t>
      </w:r>
      <w:r w:rsidRPr="0005701D">
        <w:rPr>
          <w:rFonts w:ascii="Times New Roman" w:hAnsi="Times New Roman" w:cs="Times New Roman"/>
          <w:b/>
        </w:rPr>
        <w:t>rin</w:t>
      </w:r>
      <w:r w:rsidR="009C264E" w:rsidRPr="0005701D">
        <w:rPr>
          <w:rFonts w:ascii="Times New Roman" w:hAnsi="Times New Roman" w:cs="Times New Roman"/>
          <w:b/>
        </w:rPr>
        <w:t>ë</w:t>
      </w:r>
      <w:r w:rsidRPr="0005701D">
        <w:rPr>
          <w:rFonts w:ascii="Times New Roman" w:hAnsi="Times New Roman" w:cs="Times New Roman"/>
          <w:b/>
        </w:rPr>
        <w:t xml:space="preserve"> 2020</w:t>
      </w:r>
      <w:r>
        <w:rPr>
          <w:rStyle w:val="FootnoteReference"/>
          <w:rFonts w:ascii="Times New Roman" w:hAnsi="Times New Roman" w:cs="Times New Roman"/>
        </w:rPr>
        <w:footnoteReference w:id="12"/>
      </w:r>
      <w:r>
        <w:rPr>
          <w:rFonts w:ascii="Times New Roman" w:hAnsi="Times New Roman" w:cs="Times New Roman"/>
        </w:rPr>
        <w:t>, evidentohet se:</w:t>
      </w:r>
      <w:r w:rsidR="005D6872">
        <w:rPr>
          <w:rFonts w:ascii="Times New Roman" w:hAnsi="Times New Roman" w:cs="Times New Roman"/>
        </w:rPr>
        <w:t xml:space="preserve"> </w:t>
      </w:r>
      <w:r w:rsidRPr="00E142B9">
        <w:rPr>
          <w:rFonts w:ascii="Times New Roman" w:hAnsi="Times New Roman" w:cs="Times New Roman"/>
        </w:rPr>
        <w:t>Avokati i Popullit dhe KMD-ja e kanë bërë fjalimin e urrejtjes raciste dhe homo-/transfobike një temë të spikatur në punën e tyre, duke pranuar se ky problem duhet të zgjidhet në mënyrë efektive</w:t>
      </w:r>
      <w:r w:rsidR="005D6872">
        <w:rPr>
          <w:rFonts w:ascii="Times New Roman" w:hAnsi="Times New Roman" w:cs="Times New Roman"/>
        </w:rPr>
        <w:t xml:space="preserve">. </w:t>
      </w:r>
      <w:r w:rsidRPr="00E142B9">
        <w:rPr>
          <w:rFonts w:ascii="Times New Roman" w:hAnsi="Times New Roman" w:cs="Times New Roman"/>
        </w:rPr>
        <w:t>Ndërsa Plani i Veprimit për personat LGBTI është një bazë e dobishme për të arritur ndryshime</w:t>
      </w:r>
      <w:r w:rsidRPr="00285916">
        <w:rPr>
          <w:rFonts w:ascii="Times New Roman" w:hAnsi="Times New Roman" w:cs="Times New Roman"/>
        </w:rPr>
        <w:t xml:space="preserve"> pozitive, j</w:t>
      </w:r>
      <w:r w:rsidRPr="001154FD">
        <w:rPr>
          <w:rFonts w:ascii="Times New Roman" w:hAnsi="Times New Roman" w:cs="Times New Roman"/>
        </w:rPr>
        <w:t>anë veçanërisht të domosdoshëm hapat në lidhje me parandalimin e diskriminimit dhe promovimin e barazisë për personat LGBTI në sektorët e shëndetësisë dhe arsimit, dhe për ndë</w:t>
      </w:r>
      <w:r w:rsidR="005D6872">
        <w:rPr>
          <w:rFonts w:ascii="Times New Roman" w:hAnsi="Times New Roman" w:cs="Times New Roman"/>
        </w:rPr>
        <w:t>rtimin e kapaciteteve në nivel</w:t>
      </w:r>
      <w:r w:rsidRPr="001154FD">
        <w:rPr>
          <w:rFonts w:ascii="Times New Roman" w:hAnsi="Times New Roman" w:cs="Times New Roman"/>
        </w:rPr>
        <w:t xml:space="preserve"> bashkie</w:t>
      </w:r>
      <w:r w:rsidR="005D6872">
        <w:rPr>
          <w:rFonts w:ascii="Times New Roman" w:hAnsi="Times New Roman" w:cs="Times New Roman"/>
        </w:rPr>
        <w:t>,</w:t>
      </w:r>
      <w:r w:rsidRPr="001154FD">
        <w:rPr>
          <w:rFonts w:ascii="Times New Roman" w:hAnsi="Times New Roman" w:cs="Times New Roman"/>
        </w:rPr>
        <w:t xml:space="preserve"> jashtë kryeqytetit.</w:t>
      </w:r>
      <w:r w:rsidR="005D6872">
        <w:rPr>
          <w:rFonts w:ascii="Times New Roman" w:hAnsi="Times New Roman" w:cs="Times New Roman"/>
        </w:rPr>
        <w:t xml:space="preserve"> </w:t>
      </w:r>
      <w:r w:rsidR="00285916" w:rsidRPr="001154FD">
        <w:rPr>
          <w:rFonts w:ascii="Times New Roman" w:hAnsi="Times New Roman" w:cs="Times New Roman"/>
        </w:rPr>
        <w:t>Personat LGBTI vazhdojnë të përballen me një numër problemesh në Shqipëri dhe</w:t>
      </w:r>
      <w:r w:rsidR="001154FD" w:rsidRPr="001154FD">
        <w:rPr>
          <w:rFonts w:ascii="Times New Roman" w:hAnsi="Times New Roman" w:cs="Times New Roman"/>
        </w:rPr>
        <w:t xml:space="preserve"> </w:t>
      </w:r>
      <w:r w:rsidR="00285916" w:rsidRPr="001154FD">
        <w:rPr>
          <w:rFonts w:ascii="Times New Roman" w:hAnsi="Times New Roman" w:cs="Times New Roman"/>
        </w:rPr>
        <w:t>shpesh hasin pengesa për barazi efektive. Sidoqoftë, vitet e fundit, situata e</w:t>
      </w:r>
      <w:r w:rsidR="001154FD" w:rsidRPr="001154FD">
        <w:rPr>
          <w:rFonts w:ascii="Times New Roman" w:hAnsi="Times New Roman" w:cs="Times New Roman"/>
        </w:rPr>
        <w:t xml:space="preserve"> </w:t>
      </w:r>
      <w:r w:rsidR="00285916" w:rsidRPr="001154FD">
        <w:rPr>
          <w:rFonts w:ascii="Times New Roman" w:hAnsi="Times New Roman" w:cs="Times New Roman"/>
        </w:rPr>
        <w:t>përgjithshme është përmirësuar paksa dhe problemet ekzistuese për anëtarët e</w:t>
      </w:r>
      <w:r w:rsidR="001154FD" w:rsidRPr="001154FD">
        <w:rPr>
          <w:rFonts w:ascii="Times New Roman" w:hAnsi="Times New Roman" w:cs="Times New Roman"/>
        </w:rPr>
        <w:t xml:space="preserve"> </w:t>
      </w:r>
      <w:r w:rsidR="00285916" w:rsidRPr="009D285D">
        <w:rPr>
          <w:rFonts w:ascii="Times New Roman" w:hAnsi="Times New Roman" w:cs="Times New Roman"/>
        </w:rPr>
        <w:t>komunitetit janë vendosur gjithnjë e më shumë në axhendën politike</w:t>
      </w:r>
      <w:r w:rsidR="001154FD">
        <w:rPr>
          <w:rFonts w:ascii="Times New Roman" w:hAnsi="Times New Roman" w:cs="Times New Roman"/>
        </w:rPr>
        <w:t xml:space="preserve">. </w:t>
      </w:r>
      <w:r w:rsidR="001154FD" w:rsidRPr="001154FD">
        <w:rPr>
          <w:rFonts w:ascii="Times New Roman" w:hAnsi="Times New Roman" w:cs="Times New Roman"/>
        </w:rPr>
        <w:t>Vet</w:t>
      </w:r>
      <w:r w:rsidR="009C264E">
        <w:rPr>
          <w:rFonts w:ascii="Times New Roman" w:hAnsi="Times New Roman" w:cs="Times New Roman"/>
        </w:rPr>
        <w:t>ë</w:t>
      </w:r>
      <w:r w:rsidR="001154FD" w:rsidRPr="001154FD">
        <w:rPr>
          <w:rFonts w:ascii="Times New Roman" w:hAnsi="Times New Roman" w:cs="Times New Roman"/>
        </w:rPr>
        <w:t xml:space="preserve"> ekzistenca e Grupit Kombëtar të Zbatimit dhe Koordinimit (GKZK)</w:t>
      </w:r>
      <w:r w:rsidR="001154FD">
        <w:rPr>
          <w:rFonts w:ascii="Times New Roman" w:hAnsi="Times New Roman" w:cs="Times New Roman"/>
        </w:rPr>
        <w:t>, ngritur me Urdh</w:t>
      </w:r>
      <w:r w:rsidR="009C264E">
        <w:rPr>
          <w:rFonts w:ascii="Times New Roman" w:hAnsi="Times New Roman" w:cs="Times New Roman"/>
        </w:rPr>
        <w:t>ë</w:t>
      </w:r>
      <w:r w:rsidR="001154FD">
        <w:rPr>
          <w:rFonts w:ascii="Times New Roman" w:hAnsi="Times New Roman" w:cs="Times New Roman"/>
        </w:rPr>
        <w:t>r t</w:t>
      </w:r>
      <w:r w:rsidR="009C264E">
        <w:rPr>
          <w:rFonts w:ascii="Times New Roman" w:hAnsi="Times New Roman" w:cs="Times New Roman"/>
        </w:rPr>
        <w:t>ë</w:t>
      </w:r>
      <w:r w:rsidR="001154FD">
        <w:rPr>
          <w:rFonts w:ascii="Times New Roman" w:hAnsi="Times New Roman" w:cs="Times New Roman"/>
        </w:rPr>
        <w:t xml:space="preserve"> Kryeministrit, </w:t>
      </w:r>
      <w:r w:rsidR="001154FD" w:rsidRPr="001154FD">
        <w:rPr>
          <w:rFonts w:ascii="Times New Roman" w:hAnsi="Times New Roman" w:cs="Times New Roman"/>
        </w:rPr>
        <w:t>është tregues i një angazhimi të fortë nga niveli më i lartë politik.</w:t>
      </w:r>
      <w:r w:rsidR="005D6872">
        <w:rPr>
          <w:rFonts w:ascii="Times New Roman" w:hAnsi="Times New Roman" w:cs="Times New Roman"/>
        </w:rPr>
        <w:t xml:space="preserve"> </w:t>
      </w:r>
      <w:r w:rsidR="009D285D" w:rsidRPr="009D285D">
        <w:rPr>
          <w:rFonts w:ascii="Times New Roman" w:hAnsi="Times New Roman" w:cs="Times New Roman"/>
        </w:rPr>
        <w:t>Legjislacioni shqiptar nuk i njeh partneritetet mes personave të të njëjtës gjini.</w:t>
      </w:r>
      <w:r w:rsidR="005D6872">
        <w:rPr>
          <w:rFonts w:ascii="Times New Roman" w:hAnsi="Times New Roman" w:cs="Times New Roman"/>
        </w:rPr>
        <w:t xml:space="preserve"> </w:t>
      </w:r>
      <w:r w:rsidR="009D285D" w:rsidRPr="009D285D">
        <w:rPr>
          <w:rFonts w:ascii="Times New Roman" w:hAnsi="Times New Roman" w:cs="Times New Roman"/>
        </w:rPr>
        <w:t>ECRI vëren me kënaqësi se në vitin 2018, Parlamenti shqiptar miratoi Kodin e Sjelljes që, ndër të tjera, ndalon deputetët të përdorin gjuhën e urrejtjes raciste dhe homo-/transfobike në Parlament, si dhe format e diskriminimit dhe stereotipit si në</w:t>
      </w:r>
      <w:r w:rsidR="009D285D" w:rsidRPr="009C264E">
        <w:rPr>
          <w:rFonts w:ascii="Times New Roman" w:hAnsi="Times New Roman" w:cs="Times New Roman"/>
        </w:rPr>
        <w:t xml:space="preserve"> Parlament ashtu edhe në veprimtaritë jo-parlamentare. Në rast të shkeljeve, parashikohet që ndaj deputetit të zbatohen masa disiplinore</w:t>
      </w:r>
      <w:r w:rsidR="009D285D">
        <w:rPr>
          <w:rFonts w:ascii="Times New Roman" w:hAnsi="Times New Roman" w:cs="Times New Roman"/>
        </w:rPr>
        <w:t>.</w:t>
      </w:r>
      <w:r w:rsidR="005D6872">
        <w:rPr>
          <w:rFonts w:ascii="Times New Roman" w:hAnsi="Times New Roman" w:cs="Times New Roman"/>
        </w:rPr>
        <w:t xml:space="preserve"> </w:t>
      </w:r>
      <w:r w:rsidR="009D285D" w:rsidRPr="009D285D">
        <w:rPr>
          <w:rFonts w:ascii="Times New Roman" w:hAnsi="Times New Roman" w:cs="Times New Roman"/>
        </w:rPr>
        <w:t xml:space="preserve">ECRI rekomandon që autoritetet shqiptare të sigurojnë një kornizë ligjore </w:t>
      </w:r>
      <w:r w:rsidR="005D6872">
        <w:rPr>
          <w:rFonts w:ascii="Times New Roman" w:hAnsi="Times New Roman" w:cs="Times New Roman"/>
        </w:rPr>
        <w:t>që u</w:t>
      </w:r>
      <w:r w:rsidR="009D285D" w:rsidRPr="009D285D">
        <w:rPr>
          <w:rFonts w:ascii="Times New Roman" w:hAnsi="Times New Roman" w:cs="Times New Roman"/>
        </w:rPr>
        <w:t xml:space="preserve"> jep mundësinë çifteve të të njëjtit seks, pa asnjë lloj diskriminimi, që</w:t>
      </w:r>
      <w:r w:rsidR="009D285D" w:rsidRPr="009C264E">
        <w:rPr>
          <w:rFonts w:ascii="Times New Roman" w:hAnsi="Times New Roman" w:cs="Times New Roman"/>
        </w:rPr>
        <w:t xml:space="preserve"> marrëdhënia e tyre të njihet dhe mbrohet, në mënyrë që të adresojnë problemet praktike që lidhen me realitetin shoqëror në të cilin ata jetojnë</w:t>
      </w:r>
      <w:r w:rsidR="009D285D">
        <w:rPr>
          <w:rFonts w:ascii="Times New Roman" w:hAnsi="Times New Roman" w:cs="Times New Roman"/>
        </w:rPr>
        <w:t>.</w:t>
      </w:r>
    </w:p>
    <w:p w:rsidR="009D285D" w:rsidRDefault="009D285D" w:rsidP="009D285D">
      <w:pPr>
        <w:pStyle w:val="NoSpacing"/>
        <w:spacing w:line="276" w:lineRule="auto"/>
        <w:jc w:val="both"/>
        <w:rPr>
          <w:rFonts w:ascii="Times New Roman" w:hAnsi="Times New Roman" w:cs="Times New Roman"/>
        </w:rPr>
      </w:pPr>
    </w:p>
    <w:p w:rsidR="009D285D" w:rsidRPr="009D285D" w:rsidRDefault="009C264E" w:rsidP="00A313C5">
      <w:pPr>
        <w:pStyle w:val="NoSpacing"/>
        <w:spacing w:line="276" w:lineRule="auto"/>
        <w:jc w:val="both"/>
        <w:rPr>
          <w:rFonts w:ascii="Times New Roman" w:hAnsi="Times New Roman" w:cs="Times New Roman"/>
        </w:rPr>
      </w:pPr>
      <w:r w:rsidRPr="0005701D">
        <w:rPr>
          <w:rFonts w:ascii="Times New Roman" w:hAnsi="Times New Roman" w:cs="Times New Roman"/>
          <w:b/>
        </w:rPr>
        <w:t>Raporti i Komisionit Evropian p</w:t>
      </w:r>
      <w:r>
        <w:rPr>
          <w:rFonts w:ascii="Times New Roman" w:hAnsi="Times New Roman" w:cs="Times New Roman"/>
          <w:b/>
        </w:rPr>
        <w:t>ë</w:t>
      </w:r>
      <w:r w:rsidRPr="0005701D">
        <w:rPr>
          <w:rFonts w:ascii="Times New Roman" w:hAnsi="Times New Roman" w:cs="Times New Roman"/>
          <w:b/>
        </w:rPr>
        <w:t>r Shqip</w:t>
      </w:r>
      <w:r>
        <w:rPr>
          <w:rFonts w:ascii="Times New Roman" w:hAnsi="Times New Roman" w:cs="Times New Roman"/>
          <w:b/>
        </w:rPr>
        <w:t>ë</w:t>
      </w:r>
      <w:r w:rsidRPr="0005701D">
        <w:rPr>
          <w:rFonts w:ascii="Times New Roman" w:hAnsi="Times New Roman" w:cs="Times New Roman"/>
          <w:b/>
        </w:rPr>
        <w:t>rin</w:t>
      </w:r>
      <w:r>
        <w:rPr>
          <w:rFonts w:ascii="Times New Roman" w:hAnsi="Times New Roman" w:cs="Times New Roman"/>
          <w:b/>
        </w:rPr>
        <w:t>ë</w:t>
      </w:r>
      <w:r w:rsidRPr="0005701D">
        <w:rPr>
          <w:rFonts w:ascii="Times New Roman" w:hAnsi="Times New Roman" w:cs="Times New Roman"/>
          <w:b/>
        </w:rPr>
        <w:t xml:space="preserve"> 2020</w:t>
      </w:r>
      <w:r>
        <w:rPr>
          <w:rStyle w:val="FootnoteReference"/>
          <w:rFonts w:ascii="Times New Roman" w:hAnsi="Times New Roman" w:cs="Times New Roman"/>
          <w:b/>
        </w:rPr>
        <w:footnoteReference w:id="13"/>
      </w:r>
      <w:r>
        <w:rPr>
          <w:rFonts w:ascii="Times New Roman" w:hAnsi="Times New Roman" w:cs="Times New Roman"/>
        </w:rPr>
        <w:t xml:space="preserve">, gjithashtu thekson se: </w:t>
      </w:r>
      <w:r w:rsidRPr="009C264E">
        <w:rPr>
          <w:rFonts w:ascii="Times New Roman" w:hAnsi="Times New Roman" w:cs="Times New Roman"/>
        </w:rPr>
        <w:t xml:space="preserve">Legjislacioni i Shqipërisë ndalon diskriminimin kundër </w:t>
      </w:r>
      <w:r>
        <w:rPr>
          <w:rFonts w:ascii="Times New Roman" w:hAnsi="Times New Roman" w:cs="Times New Roman"/>
        </w:rPr>
        <w:t>personave lezbike</w:t>
      </w:r>
      <w:r w:rsidRPr="009C264E">
        <w:rPr>
          <w:rFonts w:ascii="Times New Roman" w:hAnsi="Times New Roman" w:cs="Times New Roman"/>
        </w:rPr>
        <w:t xml:space="preserve">, </w:t>
      </w:r>
      <w:r>
        <w:rPr>
          <w:rFonts w:ascii="Times New Roman" w:hAnsi="Times New Roman" w:cs="Times New Roman"/>
        </w:rPr>
        <w:t xml:space="preserve">gej, biseksualë, transgjinorë </w:t>
      </w:r>
      <w:r w:rsidRPr="009C264E">
        <w:rPr>
          <w:rFonts w:ascii="Times New Roman" w:hAnsi="Times New Roman" w:cs="Times New Roman"/>
        </w:rPr>
        <w:t xml:space="preserve">dhe </w:t>
      </w:r>
      <w:r>
        <w:rPr>
          <w:rFonts w:ascii="Times New Roman" w:hAnsi="Times New Roman" w:cs="Times New Roman"/>
        </w:rPr>
        <w:t>interseks</w:t>
      </w:r>
      <w:r w:rsidRPr="009C264E">
        <w:rPr>
          <w:rFonts w:ascii="Times New Roman" w:hAnsi="Times New Roman" w:cs="Times New Roman"/>
        </w:rPr>
        <w:t xml:space="preserve"> (LGBTI). Megjithatë, nevojiten më shumë përpjekje për të mbrojtur personat LGBTI</w:t>
      </w:r>
      <w:r w:rsidR="005C0B9D">
        <w:rPr>
          <w:rFonts w:ascii="Times New Roman" w:hAnsi="Times New Roman" w:cs="Times New Roman"/>
        </w:rPr>
        <w:t xml:space="preserve">+ </w:t>
      </w:r>
      <w:r w:rsidRPr="009C264E">
        <w:rPr>
          <w:rFonts w:ascii="Times New Roman" w:hAnsi="Times New Roman" w:cs="Times New Roman"/>
        </w:rPr>
        <w:t xml:space="preserve">nga diskriminimi kur bëhet fjalë për qasjen në kujdesin shëndetësor, </w:t>
      </w:r>
      <w:r>
        <w:rPr>
          <w:rFonts w:ascii="Times New Roman" w:hAnsi="Times New Roman" w:cs="Times New Roman"/>
        </w:rPr>
        <w:t>në arsim, drejtësi, punësim dhe strehim</w:t>
      </w:r>
      <w:r w:rsidRPr="009C264E">
        <w:rPr>
          <w:rFonts w:ascii="Times New Roman" w:hAnsi="Times New Roman" w:cs="Times New Roman"/>
        </w:rPr>
        <w:t>.</w:t>
      </w:r>
      <w:r w:rsidR="005D6872">
        <w:t xml:space="preserve"> </w:t>
      </w:r>
      <w:r w:rsidRPr="009C264E">
        <w:rPr>
          <w:rFonts w:ascii="Times New Roman" w:hAnsi="Times New Roman" w:cs="Times New Roman"/>
        </w:rPr>
        <w:t xml:space="preserve">Një </w:t>
      </w:r>
      <w:r w:rsidR="00850017">
        <w:rPr>
          <w:rFonts w:ascii="Times New Roman" w:hAnsi="Times New Roman" w:cs="Times New Roman"/>
        </w:rPr>
        <w:t xml:space="preserve">Gruip </w:t>
      </w:r>
      <w:r w:rsidRPr="009C264E">
        <w:rPr>
          <w:rFonts w:ascii="Times New Roman" w:hAnsi="Times New Roman" w:cs="Times New Roman"/>
        </w:rPr>
        <w:t>ndërm</w:t>
      </w:r>
      <w:r w:rsidR="00850017">
        <w:rPr>
          <w:rFonts w:ascii="Times New Roman" w:hAnsi="Times New Roman" w:cs="Times New Roman"/>
        </w:rPr>
        <w:t xml:space="preserve">inistror </w:t>
      </w:r>
      <w:r w:rsidRPr="009C264E">
        <w:rPr>
          <w:rFonts w:ascii="Times New Roman" w:hAnsi="Times New Roman" w:cs="Times New Roman"/>
        </w:rPr>
        <w:t xml:space="preserve">përgjegjës për monitorimin e planit të veprimit është </w:t>
      </w:r>
      <w:r w:rsidR="00A313C5">
        <w:rPr>
          <w:rFonts w:ascii="Times New Roman" w:hAnsi="Times New Roman" w:cs="Times New Roman"/>
        </w:rPr>
        <w:t>funksional, nd</w:t>
      </w:r>
      <w:r w:rsidR="00A81EBC">
        <w:rPr>
          <w:rFonts w:ascii="Times New Roman" w:hAnsi="Times New Roman" w:cs="Times New Roman"/>
        </w:rPr>
        <w:t>ë</w:t>
      </w:r>
      <w:r w:rsidR="00A313C5">
        <w:rPr>
          <w:rFonts w:ascii="Times New Roman" w:hAnsi="Times New Roman" w:cs="Times New Roman"/>
        </w:rPr>
        <w:t>rko</w:t>
      </w:r>
      <w:r w:rsidR="00850017">
        <w:rPr>
          <w:rFonts w:ascii="Times New Roman" w:hAnsi="Times New Roman" w:cs="Times New Roman"/>
        </w:rPr>
        <w:t>h</w:t>
      </w:r>
      <w:r w:rsidR="00A81EBC">
        <w:rPr>
          <w:rFonts w:ascii="Times New Roman" w:hAnsi="Times New Roman" w:cs="Times New Roman"/>
        </w:rPr>
        <w:t>ë</w:t>
      </w:r>
      <w:r w:rsidR="00850017">
        <w:rPr>
          <w:rFonts w:ascii="Times New Roman" w:hAnsi="Times New Roman" w:cs="Times New Roman"/>
        </w:rPr>
        <w:t xml:space="preserve"> q</w:t>
      </w:r>
      <w:r w:rsidR="00A81EBC">
        <w:rPr>
          <w:rFonts w:ascii="Times New Roman" w:hAnsi="Times New Roman" w:cs="Times New Roman"/>
        </w:rPr>
        <w:t>ë</w:t>
      </w:r>
      <w:r w:rsidR="00850017">
        <w:rPr>
          <w:rFonts w:ascii="Times New Roman" w:hAnsi="Times New Roman" w:cs="Times New Roman"/>
        </w:rPr>
        <w:t xml:space="preserve"> o</w:t>
      </w:r>
      <w:r w:rsidRPr="009C264E">
        <w:rPr>
          <w:rFonts w:ascii="Times New Roman" w:hAnsi="Times New Roman" w:cs="Times New Roman"/>
        </w:rPr>
        <w:t>ficerët e policisë, prokurorët dhe ‘</w:t>
      </w:r>
      <w:r w:rsidR="00850017">
        <w:rPr>
          <w:rFonts w:ascii="Times New Roman" w:hAnsi="Times New Roman" w:cs="Times New Roman"/>
        </w:rPr>
        <w:t>N</w:t>
      </w:r>
      <w:r w:rsidR="00A81EBC">
        <w:rPr>
          <w:rFonts w:ascii="Times New Roman" w:hAnsi="Times New Roman" w:cs="Times New Roman"/>
        </w:rPr>
        <w:t>ë</w:t>
      </w:r>
      <w:r w:rsidR="00850017">
        <w:rPr>
          <w:rFonts w:ascii="Times New Roman" w:hAnsi="Times New Roman" w:cs="Times New Roman"/>
        </w:rPr>
        <w:t>pun</w:t>
      </w:r>
      <w:r w:rsidR="00A81EBC">
        <w:rPr>
          <w:rFonts w:ascii="Times New Roman" w:hAnsi="Times New Roman" w:cs="Times New Roman"/>
        </w:rPr>
        <w:t>ë</w:t>
      </w:r>
      <w:r w:rsidR="00850017">
        <w:rPr>
          <w:rFonts w:ascii="Times New Roman" w:hAnsi="Times New Roman" w:cs="Times New Roman"/>
        </w:rPr>
        <w:t xml:space="preserve">sit e </w:t>
      </w:r>
      <w:r w:rsidR="00850017">
        <w:rPr>
          <w:rFonts w:ascii="Times New Roman" w:hAnsi="Times New Roman" w:cs="Times New Roman"/>
        </w:rPr>
        <w:lastRenderedPageBreak/>
        <w:t>Barazis</w:t>
      </w:r>
      <w:r w:rsidR="00A81EBC">
        <w:rPr>
          <w:rFonts w:ascii="Times New Roman" w:hAnsi="Times New Roman" w:cs="Times New Roman"/>
        </w:rPr>
        <w:t>ë</w:t>
      </w:r>
      <w:r w:rsidR="00850017">
        <w:rPr>
          <w:rFonts w:ascii="Times New Roman" w:hAnsi="Times New Roman" w:cs="Times New Roman"/>
        </w:rPr>
        <w:t xml:space="preserve"> Gjinore n</w:t>
      </w:r>
      <w:r w:rsidR="00A81EBC">
        <w:rPr>
          <w:rFonts w:ascii="Times New Roman" w:hAnsi="Times New Roman" w:cs="Times New Roman"/>
        </w:rPr>
        <w:t>ë</w:t>
      </w:r>
      <w:r w:rsidR="00850017">
        <w:rPr>
          <w:rFonts w:ascii="Times New Roman" w:hAnsi="Times New Roman" w:cs="Times New Roman"/>
        </w:rPr>
        <w:t xml:space="preserve"> ministrit</w:t>
      </w:r>
      <w:r w:rsidR="00A81EBC">
        <w:rPr>
          <w:rFonts w:ascii="Times New Roman" w:hAnsi="Times New Roman" w:cs="Times New Roman"/>
        </w:rPr>
        <w:t>ë</w:t>
      </w:r>
      <w:r w:rsidR="00850017">
        <w:rPr>
          <w:rFonts w:ascii="Times New Roman" w:hAnsi="Times New Roman" w:cs="Times New Roman"/>
        </w:rPr>
        <w:t xml:space="preserve"> e linj</w:t>
      </w:r>
      <w:r w:rsidR="00A81EBC">
        <w:rPr>
          <w:rFonts w:ascii="Times New Roman" w:hAnsi="Times New Roman" w:cs="Times New Roman"/>
        </w:rPr>
        <w:t>ë</w:t>
      </w:r>
      <w:r w:rsidR="00850017">
        <w:rPr>
          <w:rFonts w:ascii="Times New Roman" w:hAnsi="Times New Roman" w:cs="Times New Roman"/>
        </w:rPr>
        <w:t>s jan</w:t>
      </w:r>
      <w:r w:rsidR="00A81EBC">
        <w:rPr>
          <w:rFonts w:ascii="Times New Roman" w:hAnsi="Times New Roman" w:cs="Times New Roman"/>
        </w:rPr>
        <w:t>ë</w:t>
      </w:r>
      <w:r w:rsidR="00850017">
        <w:rPr>
          <w:rFonts w:ascii="Times New Roman" w:hAnsi="Times New Roman" w:cs="Times New Roman"/>
        </w:rPr>
        <w:t xml:space="preserve"> trajnuar mbi parandalimin e diskriminimit p</w:t>
      </w:r>
      <w:r w:rsidR="00A81EBC">
        <w:rPr>
          <w:rFonts w:ascii="Times New Roman" w:hAnsi="Times New Roman" w:cs="Times New Roman"/>
        </w:rPr>
        <w:t>ë</w:t>
      </w:r>
      <w:r w:rsidR="00850017">
        <w:rPr>
          <w:rFonts w:ascii="Times New Roman" w:hAnsi="Times New Roman" w:cs="Times New Roman"/>
        </w:rPr>
        <w:t>r shkak t</w:t>
      </w:r>
      <w:r w:rsidR="00A81EBC">
        <w:rPr>
          <w:rFonts w:ascii="Times New Roman" w:hAnsi="Times New Roman" w:cs="Times New Roman"/>
        </w:rPr>
        <w:t>ë</w:t>
      </w:r>
      <w:r w:rsidR="00850017">
        <w:rPr>
          <w:rFonts w:ascii="Times New Roman" w:hAnsi="Times New Roman" w:cs="Times New Roman"/>
        </w:rPr>
        <w:t xml:space="preserve"> identitetit gjinor dhe orientimit seksual. </w:t>
      </w:r>
      <w:r w:rsidR="00A313C5" w:rsidRPr="00A313C5">
        <w:rPr>
          <w:rFonts w:ascii="Times New Roman" w:hAnsi="Times New Roman" w:cs="Times New Roman"/>
        </w:rPr>
        <w:t>Streha për personat LGBTI</w:t>
      </w:r>
      <w:r w:rsidR="00B56BCF">
        <w:rPr>
          <w:rFonts w:ascii="Times New Roman" w:hAnsi="Times New Roman" w:cs="Times New Roman"/>
        </w:rPr>
        <w:t>+</w:t>
      </w:r>
      <w:r w:rsidR="00A313C5">
        <w:rPr>
          <w:rFonts w:ascii="Times New Roman" w:hAnsi="Times New Roman" w:cs="Times New Roman"/>
        </w:rPr>
        <w:t>, mb</w:t>
      </w:r>
      <w:r w:rsidR="00A81EBC">
        <w:rPr>
          <w:rFonts w:ascii="Times New Roman" w:hAnsi="Times New Roman" w:cs="Times New Roman"/>
        </w:rPr>
        <w:t>ë</w:t>
      </w:r>
      <w:r w:rsidR="00A313C5">
        <w:rPr>
          <w:rFonts w:ascii="Times New Roman" w:hAnsi="Times New Roman" w:cs="Times New Roman"/>
        </w:rPr>
        <w:t>shtetur edhe me fonde t</w:t>
      </w:r>
      <w:r w:rsidR="00A81EBC">
        <w:rPr>
          <w:rFonts w:ascii="Times New Roman" w:hAnsi="Times New Roman" w:cs="Times New Roman"/>
        </w:rPr>
        <w:t>ë</w:t>
      </w:r>
      <w:r w:rsidR="00A313C5">
        <w:rPr>
          <w:rFonts w:ascii="Times New Roman" w:hAnsi="Times New Roman" w:cs="Times New Roman"/>
        </w:rPr>
        <w:t xml:space="preserve"> shtetit prej vitit 2019, </w:t>
      </w:r>
      <w:r w:rsidR="00A313C5" w:rsidRPr="00A313C5">
        <w:rPr>
          <w:rFonts w:ascii="Times New Roman" w:hAnsi="Times New Roman" w:cs="Times New Roman"/>
        </w:rPr>
        <w:t xml:space="preserve">ka </w:t>
      </w:r>
      <w:r w:rsidR="00A313C5">
        <w:rPr>
          <w:rFonts w:ascii="Times New Roman" w:hAnsi="Times New Roman" w:cs="Times New Roman"/>
        </w:rPr>
        <w:t>vijuar</w:t>
      </w:r>
      <w:r w:rsidR="00A313C5" w:rsidRPr="00A313C5">
        <w:rPr>
          <w:rFonts w:ascii="Times New Roman" w:hAnsi="Times New Roman" w:cs="Times New Roman"/>
        </w:rPr>
        <w:t xml:space="preserve"> të ofrojë kujdes, mbështetje dhe avokim për</w:t>
      </w:r>
      <w:r w:rsidR="00A313C5">
        <w:rPr>
          <w:rFonts w:ascii="Times New Roman" w:hAnsi="Times New Roman" w:cs="Times New Roman"/>
        </w:rPr>
        <w:t xml:space="preserve"> persona</w:t>
      </w:r>
      <w:r w:rsidR="00A313C5" w:rsidRPr="00A313C5">
        <w:rPr>
          <w:rFonts w:ascii="Times New Roman" w:hAnsi="Times New Roman" w:cs="Times New Roman"/>
        </w:rPr>
        <w:t xml:space="preserve"> të pastrehë LGBTI</w:t>
      </w:r>
      <w:r w:rsidR="00B56BCF">
        <w:rPr>
          <w:rFonts w:ascii="Times New Roman" w:hAnsi="Times New Roman" w:cs="Times New Roman"/>
        </w:rPr>
        <w:t>+</w:t>
      </w:r>
      <w:r w:rsidR="00A313C5">
        <w:rPr>
          <w:rFonts w:ascii="Times New Roman" w:hAnsi="Times New Roman" w:cs="Times New Roman"/>
        </w:rPr>
        <w:t xml:space="preserve">. </w:t>
      </w:r>
      <w:r w:rsidR="005A33A9">
        <w:rPr>
          <w:rFonts w:ascii="Times New Roman" w:hAnsi="Times New Roman" w:cs="Times New Roman"/>
        </w:rPr>
        <w:t>Gjithsesi ky sh</w:t>
      </w:r>
      <w:r w:rsidR="00A81EBC">
        <w:rPr>
          <w:rFonts w:ascii="Times New Roman" w:hAnsi="Times New Roman" w:cs="Times New Roman"/>
        </w:rPr>
        <w:t>ë</w:t>
      </w:r>
      <w:r w:rsidR="005A33A9">
        <w:rPr>
          <w:rFonts w:ascii="Times New Roman" w:hAnsi="Times New Roman" w:cs="Times New Roman"/>
        </w:rPr>
        <w:t>rbim mbetet kryesisht n</w:t>
      </w:r>
      <w:r w:rsidR="00A81EBC">
        <w:rPr>
          <w:rFonts w:ascii="Times New Roman" w:hAnsi="Times New Roman" w:cs="Times New Roman"/>
        </w:rPr>
        <w:t>ë</w:t>
      </w:r>
      <w:r w:rsidR="005A33A9">
        <w:rPr>
          <w:rFonts w:ascii="Times New Roman" w:hAnsi="Times New Roman" w:cs="Times New Roman"/>
        </w:rPr>
        <w:t xml:space="preserve"> var</w:t>
      </w:r>
      <w:r w:rsidR="00A81EBC">
        <w:rPr>
          <w:rFonts w:ascii="Times New Roman" w:hAnsi="Times New Roman" w:cs="Times New Roman"/>
        </w:rPr>
        <w:t>ë</w:t>
      </w:r>
      <w:r w:rsidR="005A33A9">
        <w:rPr>
          <w:rFonts w:ascii="Times New Roman" w:hAnsi="Times New Roman" w:cs="Times New Roman"/>
        </w:rPr>
        <w:t>si t</w:t>
      </w:r>
      <w:r w:rsidR="00A81EBC">
        <w:rPr>
          <w:rFonts w:ascii="Times New Roman" w:hAnsi="Times New Roman" w:cs="Times New Roman"/>
        </w:rPr>
        <w:t>ë</w:t>
      </w:r>
      <w:r w:rsidR="005A33A9">
        <w:rPr>
          <w:rFonts w:ascii="Times New Roman" w:hAnsi="Times New Roman" w:cs="Times New Roman"/>
        </w:rPr>
        <w:t xml:space="preserve"> mb</w:t>
      </w:r>
      <w:r w:rsidR="00A81EBC">
        <w:rPr>
          <w:rFonts w:ascii="Times New Roman" w:hAnsi="Times New Roman" w:cs="Times New Roman"/>
        </w:rPr>
        <w:t>ë</w:t>
      </w:r>
      <w:r w:rsidR="005A33A9">
        <w:rPr>
          <w:rFonts w:ascii="Times New Roman" w:hAnsi="Times New Roman" w:cs="Times New Roman"/>
        </w:rPr>
        <w:t>shtetjes s</w:t>
      </w:r>
      <w:r w:rsidR="00A81EBC">
        <w:rPr>
          <w:rFonts w:ascii="Times New Roman" w:hAnsi="Times New Roman" w:cs="Times New Roman"/>
        </w:rPr>
        <w:t>ë</w:t>
      </w:r>
      <w:r w:rsidR="005A33A9">
        <w:rPr>
          <w:rFonts w:ascii="Times New Roman" w:hAnsi="Times New Roman" w:cs="Times New Roman"/>
        </w:rPr>
        <w:t xml:space="preserve"> donator</w:t>
      </w:r>
      <w:r w:rsidR="00A81EBC">
        <w:rPr>
          <w:rFonts w:ascii="Times New Roman" w:hAnsi="Times New Roman" w:cs="Times New Roman"/>
        </w:rPr>
        <w:t>ë</w:t>
      </w:r>
      <w:r w:rsidR="005A33A9">
        <w:rPr>
          <w:rFonts w:ascii="Times New Roman" w:hAnsi="Times New Roman" w:cs="Times New Roman"/>
        </w:rPr>
        <w:t xml:space="preserve">ve. </w:t>
      </w:r>
      <w:r w:rsidR="00A313C5" w:rsidRPr="00A313C5">
        <w:rPr>
          <w:rFonts w:ascii="Times New Roman" w:hAnsi="Times New Roman" w:cs="Times New Roman"/>
        </w:rPr>
        <w:t xml:space="preserve">Ndërgjegjësimi dhe pranimi </w:t>
      </w:r>
      <w:r w:rsidR="005A33A9">
        <w:rPr>
          <w:rFonts w:ascii="Times New Roman" w:hAnsi="Times New Roman" w:cs="Times New Roman"/>
        </w:rPr>
        <w:t xml:space="preserve">nga ana e publikut </w:t>
      </w:r>
      <w:r w:rsidR="00A81EBC">
        <w:rPr>
          <w:rFonts w:ascii="Times New Roman" w:hAnsi="Times New Roman" w:cs="Times New Roman"/>
        </w:rPr>
        <w:t>i</w:t>
      </w:r>
      <w:r w:rsidR="005A33A9">
        <w:rPr>
          <w:rFonts w:ascii="Times New Roman" w:hAnsi="Times New Roman" w:cs="Times New Roman"/>
        </w:rPr>
        <w:t xml:space="preserve"> personave LGBTI</w:t>
      </w:r>
      <w:r w:rsidR="00B56BCF">
        <w:rPr>
          <w:rFonts w:ascii="Times New Roman" w:hAnsi="Times New Roman" w:cs="Times New Roman"/>
        </w:rPr>
        <w:t>+</w:t>
      </w:r>
      <w:r w:rsidR="005A33A9">
        <w:rPr>
          <w:rFonts w:ascii="Times New Roman" w:hAnsi="Times New Roman" w:cs="Times New Roman"/>
        </w:rPr>
        <w:t xml:space="preserve"> mbetet n</w:t>
      </w:r>
      <w:r w:rsidR="00A81EBC">
        <w:rPr>
          <w:rFonts w:ascii="Times New Roman" w:hAnsi="Times New Roman" w:cs="Times New Roman"/>
        </w:rPr>
        <w:t>ë</w:t>
      </w:r>
      <w:r w:rsidR="005A33A9">
        <w:rPr>
          <w:rFonts w:ascii="Times New Roman" w:hAnsi="Times New Roman" w:cs="Times New Roman"/>
        </w:rPr>
        <w:t xml:space="preserve"> nivel</w:t>
      </w:r>
      <w:r w:rsidR="00A313C5" w:rsidRPr="00A313C5">
        <w:rPr>
          <w:rFonts w:ascii="Times New Roman" w:hAnsi="Times New Roman" w:cs="Times New Roman"/>
        </w:rPr>
        <w:t xml:space="preserve"> të ulët, veçanërisht në zonat rurale. Gjuha e urrejtjes dhe diskriminuese</w:t>
      </w:r>
      <w:r w:rsidR="005A33A9">
        <w:rPr>
          <w:rFonts w:ascii="Times New Roman" w:hAnsi="Times New Roman" w:cs="Times New Roman"/>
        </w:rPr>
        <w:t xml:space="preserve"> </w:t>
      </w:r>
      <w:r w:rsidR="00A313C5" w:rsidRPr="00A313C5">
        <w:rPr>
          <w:rFonts w:ascii="Times New Roman" w:hAnsi="Times New Roman" w:cs="Times New Roman"/>
        </w:rPr>
        <w:t xml:space="preserve">vazhdon të jetë një problem në media, veçanërisht </w:t>
      </w:r>
      <w:r w:rsidR="005A33A9">
        <w:rPr>
          <w:rFonts w:ascii="Times New Roman" w:hAnsi="Times New Roman" w:cs="Times New Roman"/>
        </w:rPr>
        <w:t>n</w:t>
      </w:r>
      <w:r w:rsidR="00A81EBC">
        <w:rPr>
          <w:rFonts w:ascii="Times New Roman" w:hAnsi="Times New Roman" w:cs="Times New Roman"/>
        </w:rPr>
        <w:t>ë</w:t>
      </w:r>
      <w:r w:rsidR="005A33A9">
        <w:rPr>
          <w:rFonts w:ascii="Times New Roman" w:hAnsi="Times New Roman" w:cs="Times New Roman"/>
        </w:rPr>
        <w:t xml:space="preserve"> </w:t>
      </w:r>
      <w:r w:rsidR="00A313C5" w:rsidRPr="00A313C5">
        <w:rPr>
          <w:rFonts w:ascii="Times New Roman" w:hAnsi="Times New Roman" w:cs="Times New Roman"/>
        </w:rPr>
        <w:t>media online. Dhuna dhe</w:t>
      </w:r>
      <w:r w:rsidR="005A33A9">
        <w:rPr>
          <w:rFonts w:ascii="Times New Roman" w:hAnsi="Times New Roman" w:cs="Times New Roman"/>
        </w:rPr>
        <w:t xml:space="preserve"> </w:t>
      </w:r>
      <w:r w:rsidR="00A313C5" w:rsidRPr="00A313C5">
        <w:rPr>
          <w:rFonts w:ascii="Times New Roman" w:hAnsi="Times New Roman" w:cs="Times New Roman"/>
        </w:rPr>
        <w:t xml:space="preserve">diskriminimi kundër </w:t>
      </w:r>
      <w:r w:rsidR="00A81EBC">
        <w:rPr>
          <w:rFonts w:ascii="Times New Roman" w:hAnsi="Times New Roman" w:cs="Times New Roman"/>
        </w:rPr>
        <w:t>personave</w:t>
      </w:r>
      <w:r w:rsidR="00A313C5" w:rsidRPr="00A313C5">
        <w:rPr>
          <w:rFonts w:ascii="Times New Roman" w:hAnsi="Times New Roman" w:cs="Times New Roman"/>
        </w:rPr>
        <w:t xml:space="preserve"> trans</w:t>
      </w:r>
      <w:r w:rsidR="00A81EBC">
        <w:rPr>
          <w:rFonts w:ascii="Times New Roman" w:hAnsi="Times New Roman" w:cs="Times New Roman"/>
        </w:rPr>
        <w:t>gjinorë</w:t>
      </w:r>
      <w:r w:rsidR="00A313C5" w:rsidRPr="00A313C5">
        <w:rPr>
          <w:rFonts w:ascii="Times New Roman" w:hAnsi="Times New Roman" w:cs="Times New Roman"/>
        </w:rPr>
        <w:t xml:space="preserve"> është një fenomen shqetësues në</w:t>
      </w:r>
      <w:r w:rsidR="005A33A9">
        <w:rPr>
          <w:rFonts w:ascii="Times New Roman" w:hAnsi="Times New Roman" w:cs="Times New Roman"/>
        </w:rPr>
        <w:t xml:space="preserve"> </w:t>
      </w:r>
      <w:r w:rsidR="00A313C5" w:rsidRPr="00A313C5">
        <w:rPr>
          <w:rFonts w:ascii="Times New Roman" w:hAnsi="Times New Roman" w:cs="Times New Roman"/>
        </w:rPr>
        <w:t>vend</w:t>
      </w:r>
      <w:r w:rsidR="005A33A9">
        <w:rPr>
          <w:rFonts w:ascii="Times New Roman" w:hAnsi="Times New Roman" w:cs="Times New Roman"/>
        </w:rPr>
        <w:t xml:space="preserve">. </w:t>
      </w:r>
    </w:p>
    <w:p w:rsidR="00E142B9" w:rsidRDefault="00E142B9" w:rsidP="0088544A">
      <w:pPr>
        <w:pStyle w:val="NoSpacing"/>
        <w:spacing w:line="276" w:lineRule="auto"/>
        <w:jc w:val="both"/>
        <w:rPr>
          <w:rFonts w:ascii="Times New Roman" w:hAnsi="Times New Roman" w:cs="Times New Roman"/>
        </w:rPr>
      </w:pPr>
    </w:p>
    <w:p w:rsidR="003203DD" w:rsidRDefault="003203DD" w:rsidP="0088544A">
      <w:pPr>
        <w:pStyle w:val="NoSpacing"/>
        <w:spacing w:line="276" w:lineRule="auto"/>
        <w:jc w:val="both"/>
        <w:rPr>
          <w:rFonts w:ascii="Times New Roman" w:hAnsi="Times New Roman" w:cs="Times New Roman"/>
        </w:rPr>
      </w:pPr>
      <w:r w:rsidRPr="0005701D">
        <w:rPr>
          <w:rFonts w:ascii="Times New Roman" w:hAnsi="Times New Roman" w:cs="Times New Roman"/>
          <w:b/>
        </w:rPr>
        <w:t>Raporti i Rishikimit Universal Periodik për Shqipërinë 2019</w:t>
      </w:r>
      <w:r>
        <w:rPr>
          <w:rStyle w:val="FootnoteReference"/>
          <w:rFonts w:ascii="Times New Roman" w:hAnsi="Times New Roman" w:cs="Times New Roman"/>
        </w:rPr>
        <w:footnoteReference w:id="14"/>
      </w:r>
      <w:r>
        <w:rPr>
          <w:rFonts w:ascii="Times New Roman" w:hAnsi="Times New Roman" w:cs="Times New Roman"/>
        </w:rPr>
        <w:t>, p</w:t>
      </w:r>
      <w:r w:rsidR="00EC05C9">
        <w:rPr>
          <w:rFonts w:ascii="Times New Roman" w:hAnsi="Times New Roman" w:cs="Times New Roman"/>
        </w:rPr>
        <w:t>ë</w:t>
      </w:r>
      <w:r>
        <w:rPr>
          <w:rFonts w:ascii="Times New Roman" w:hAnsi="Times New Roman" w:cs="Times New Roman"/>
        </w:rPr>
        <w:t>rmban nj</w:t>
      </w:r>
      <w:r w:rsidR="00EC05C9">
        <w:rPr>
          <w:rFonts w:ascii="Times New Roman" w:hAnsi="Times New Roman" w:cs="Times New Roman"/>
        </w:rPr>
        <w:t>ë</w:t>
      </w:r>
      <w:r>
        <w:rPr>
          <w:rFonts w:ascii="Times New Roman" w:hAnsi="Times New Roman" w:cs="Times New Roman"/>
        </w:rPr>
        <w:t xml:space="preserve"> t</w:t>
      </w:r>
      <w:r w:rsidR="00EC05C9">
        <w:rPr>
          <w:rFonts w:ascii="Times New Roman" w:hAnsi="Times New Roman" w:cs="Times New Roman"/>
        </w:rPr>
        <w:t>ë</w:t>
      </w:r>
      <w:r>
        <w:rPr>
          <w:rFonts w:ascii="Times New Roman" w:hAnsi="Times New Roman" w:cs="Times New Roman"/>
        </w:rPr>
        <w:t>r</w:t>
      </w:r>
      <w:r w:rsidR="00EC05C9">
        <w:rPr>
          <w:rFonts w:ascii="Times New Roman" w:hAnsi="Times New Roman" w:cs="Times New Roman"/>
        </w:rPr>
        <w:t>ë</w:t>
      </w:r>
      <w:r>
        <w:rPr>
          <w:rFonts w:ascii="Times New Roman" w:hAnsi="Times New Roman" w:cs="Times New Roman"/>
        </w:rPr>
        <w:t>si rekomandimesh, nd</w:t>
      </w:r>
      <w:r w:rsidR="00EC05C9">
        <w:rPr>
          <w:rFonts w:ascii="Times New Roman" w:hAnsi="Times New Roman" w:cs="Times New Roman"/>
        </w:rPr>
        <w:t>ë</w:t>
      </w:r>
      <w:r>
        <w:rPr>
          <w:rFonts w:ascii="Times New Roman" w:hAnsi="Times New Roman" w:cs="Times New Roman"/>
        </w:rPr>
        <w:t>r t</w:t>
      </w:r>
      <w:r w:rsidR="00EC05C9">
        <w:rPr>
          <w:rFonts w:ascii="Times New Roman" w:hAnsi="Times New Roman" w:cs="Times New Roman"/>
        </w:rPr>
        <w:t>ë</w:t>
      </w:r>
      <w:r>
        <w:rPr>
          <w:rFonts w:ascii="Times New Roman" w:hAnsi="Times New Roman" w:cs="Times New Roman"/>
        </w:rPr>
        <w:t xml:space="preserve"> cilat m</w:t>
      </w:r>
      <w:r w:rsidR="00EC05C9">
        <w:rPr>
          <w:rFonts w:ascii="Times New Roman" w:hAnsi="Times New Roman" w:cs="Times New Roman"/>
        </w:rPr>
        <w:t>ë</w:t>
      </w:r>
      <w:r>
        <w:rPr>
          <w:rFonts w:ascii="Times New Roman" w:hAnsi="Times New Roman" w:cs="Times New Roman"/>
        </w:rPr>
        <w:t xml:space="preserve"> t</w:t>
      </w:r>
      <w:r w:rsidR="00EC05C9">
        <w:rPr>
          <w:rFonts w:ascii="Times New Roman" w:hAnsi="Times New Roman" w:cs="Times New Roman"/>
        </w:rPr>
        <w:t>ë</w:t>
      </w:r>
      <w:r>
        <w:rPr>
          <w:rFonts w:ascii="Times New Roman" w:hAnsi="Times New Roman" w:cs="Times New Roman"/>
        </w:rPr>
        <w:t xml:space="preserve"> r</w:t>
      </w:r>
      <w:r w:rsidR="00EC05C9">
        <w:rPr>
          <w:rFonts w:ascii="Times New Roman" w:hAnsi="Times New Roman" w:cs="Times New Roman"/>
        </w:rPr>
        <w:t>ë</w:t>
      </w:r>
      <w:r>
        <w:rPr>
          <w:rFonts w:ascii="Times New Roman" w:hAnsi="Times New Roman" w:cs="Times New Roman"/>
        </w:rPr>
        <w:t>nd</w:t>
      </w:r>
      <w:r w:rsidR="00EC05C9">
        <w:rPr>
          <w:rFonts w:ascii="Times New Roman" w:hAnsi="Times New Roman" w:cs="Times New Roman"/>
        </w:rPr>
        <w:t>ë</w:t>
      </w:r>
      <w:r>
        <w:rPr>
          <w:rFonts w:ascii="Times New Roman" w:hAnsi="Times New Roman" w:cs="Times New Roman"/>
        </w:rPr>
        <w:t>sishmet lidhur me personat LGBTI+ renditen:</w:t>
      </w:r>
    </w:p>
    <w:p w:rsidR="003203DD" w:rsidRDefault="003203DD" w:rsidP="0005701D">
      <w:pPr>
        <w:pStyle w:val="NoSpacing"/>
        <w:numPr>
          <w:ilvl w:val="0"/>
          <w:numId w:val="53"/>
        </w:numPr>
        <w:spacing w:line="276" w:lineRule="auto"/>
        <w:jc w:val="both"/>
        <w:rPr>
          <w:rFonts w:ascii="Times New Roman" w:hAnsi="Times New Roman" w:cs="Times New Roman"/>
        </w:rPr>
      </w:pPr>
      <w:r w:rsidRPr="003203DD">
        <w:rPr>
          <w:rFonts w:ascii="Times New Roman" w:hAnsi="Times New Roman" w:cs="Times New Roman"/>
        </w:rPr>
        <w:t xml:space="preserve">Përmirësimi i përpjekjeve për zbatimin e Planit Kombëtar të Veprimit për Personat </w:t>
      </w:r>
      <w:r>
        <w:rPr>
          <w:rFonts w:ascii="Times New Roman" w:hAnsi="Times New Roman" w:cs="Times New Roman"/>
        </w:rPr>
        <w:t>LGBTI+</w:t>
      </w:r>
      <w:r w:rsidRPr="003203DD">
        <w:rPr>
          <w:rFonts w:ascii="Times New Roman" w:hAnsi="Times New Roman" w:cs="Times New Roman"/>
        </w:rPr>
        <w:t xml:space="preserve">, veçanërisht rishikimi i kurrikulave akademike mbi stereotipet gjinore dhe identitetin gjinor, në përputhje </w:t>
      </w:r>
      <w:r>
        <w:rPr>
          <w:rFonts w:ascii="Times New Roman" w:hAnsi="Times New Roman" w:cs="Times New Roman"/>
        </w:rPr>
        <w:t>me Objektivat e Zhvillimit të Qe</w:t>
      </w:r>
      <w:r w:rsidRPr="003203DD">
        <w:rPr>
          <w:rFonts w:ascii="Times New Roman" w:hAnsi="Times New Roman" w:cs="Times New Roman"/>
        </w:rPr>
        <w:t>ndrueshëm 5 dhe 10</w:t>
      </w:r>
      <w:r>
        <w:rPr>
          <w:rFonts w:ascii="Times New Roman" w:hAnsi="Times New Roman" w:cs="Times New Roman"/>
        </w:rPr>
        <w:t>;</w:t>
      </w:r>
    </w:p>
    <w:p w:rsidR="003203DD" w:rsidRDefault="003203DD" w:rsidP="0005701D">
      <w:pPr>
        <w:pStyle w:val="NoSpacing"/>
        <w:numPr>
          <w:ilvl w:val="0"/>
          <w:numId w:val="53"/>
        </w:numPr>
        <w:spacing w:line="276" w:lineRule="auto"/>
        <w:jc w:val="both"/>
        <w:rPr>
          <w:rFonts w:ascii="Times New Roman" w:hAnsi="Times New Roman" w:cs="Times New Roman"/>
        </w:rPr>
      </w:pPr>
      <w:r w:rsidRPr="003203DD">
        <w:rPr>
          <w:rFonts w:ascii="Times New Roman" w:hAnsi="Times New Roman" w:cs="Times New Roman"/>
        </w:rPr>
        <w:t>Forcimi i politikave për të luftuar veprat e dhunshme dhe krimet e urrejtjes bazuar në orientimin seksual dhe identitetin gjinor</w:t>
      </w:r>
      <w:r>
        <w:rPr>
          <w:rFonts w:ascii="Times New Roman" w:hAnsi="Times New Roman" w:cs="Times New Roman"/>
        </w:rPr>
        <w:t>,</w:t>
      </w:r>
      <w:r w:rsidRPr="003203DD">
        <w:rPr>
          <w:rFonts w:ascii="Times New Roman" w:hAnsi="Times New Roman" w:cs="Times New Roman"/>
        </w:rPr>
        <w:t xml:space="preserve"> duke krijuar lidhje më </w:t>
      </w:r>
      <w:r>
        <w:rPr>
          <w:rFonts w:ascii="Times New Roman" w:hAnsi="Times New Roman" w:cs="Times New Roman"/>
        </w:rPr>
        <w:t>t</w:t>
      </w:r>
      <w:r w:rsidR="00EC05C9">
        <w:rPr>
          <w:rFonts w:ascii="Times New Roman" w:hAnsi="Times New Roman" w:cs="Times New Roman"/>
        </w:rPr>
        <w:t>ë</w:t>
      </w:r>
      <w:r>
        <w:rPr>
          <w:rFonts w:ascii="Times New Roman" w:hAnsi="Times New Roman" w:cs="Times New Roman"/>
        </w:rPr>
        <w:t xml:space="preserve"> qendrueshme</w:t>
      </w:r>
      <w:r w:rsidRPr="003203DD">
        <w:rPr>
          <w:rFonts w:ascii="Times New Roman" w:hAnsi="Times New Roman" w:cs="Times New Roman"/>
        </w:rPr>
        <w:t xml:space="preserve"> me shoqërinë civile dhe duke garantuar zbatimin e dispozitave ligjore për krimet e urrejtjes</w:t>
      </w:r>
      <w:r>
        <w:rPr>
          <w:rFonts w:ascii="Times New Roman" w:hAnsi="Times New Roman" w:cs="Times New Roman"/>
        </w:rPr>
        <w:t>;</w:t>
      </w:r>
    </w:p>
    <w:p w:rsidR="003203DD" w:rsidRDefault="003203DD" w:rsidP="0005701D">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 xml:space="preserve">Mbrojtja e personave LGBTI+ </w:t>
      </w:r>
      <w:r w:rsidRPr="003203DD">
        <w:rPr>
          <w:rFonts w:ascii="Times New Roman" w:hAnsi="Times New Roman" w:cs="Times New Roman"/>
        </w:rPr>
        <w:t xml:space="preserve">nga stigma dhe diskriminimi në aksesin ndaj kujdesit shëndetësor, ndër të tjera, </w:t>
      </w:r>
      <w:r>
        <w:rPr>
          <w:rFonts w:ascii="Times New Roman" w:hAnsi="Times New Roman" w:cs="Times New Roman"/>
        </w:rPr>
        <w:t>n</w:t>
      </w:r>
      <w:r w:rsidR="00EC05C9">
        <w:rPr>
          <w:rFonts w:ascii="Times New Roman" w:hAnsi="Times New Roman" w:cs="Times New Roman"/>
        </w:rPr>
        <w:t>ë</w:t>
      </w:r>
      <w:r>
        <w:rPr>
          <w:rFonts w:ascii="Times New Roman" w:hAnsi="Times New Roman" w:cs="Times New Roman"/>
        </w:rPr>
        <w:t>p</w:t>
      </w:r>
      <w:r w:rsidR="00EC05C9">
        <w:rPr>
          <w:rFonts w:ascii="Times New Roman" w:hAnsi="Times New Roman" w:cs="Times New Roman"/>
        </w:rPr>
        <w:t>ë</w:t>
      </w:r>
      <w:r>
        <w:rPr>
          <w:rFonts w:ascii="Times New Roman" w:hAnsi="Times New Roman" w:cs="Times New Roman"/>
        </w:rPr>
        <w:t>rmjet</w:t>
      </w:r>
      <w:r w:rsidRPr="003203DD">
        <w:rPr>
          <w:rFonts w:ascii="Times New Roman" w:hAnsi="Times New Roman" w:cs="Times New Roman"/>
        </w:rPr>
        <w:t xml:space="preserve"> trajnime</w:t>
      </w:r>
      <w:r>
        <w:rPr>
          <w:rFonts w:ascii="Times New Roman" w:hAnsi="Times New Roman" w:cs="Times New Roman"/>
        </w:rPr>
        <w:t>ve</w:t>
      </w:r>
      <w:r w:rsidRPr="003203DD">
        <w:rPr>
          <w:rFonts w:ascii="Times New Roman" w:hAnsi="Times New Roman" w:cs="Times New Roman"/>
        </w:rPr>
        <w:t xml:space="preserve"> për të gjithë personelin shëndetësor </w:t>
      </w:r>
      <w:r>
        <w:rPr>
          <w:rFonts w:ascii="Times New Roman" w:hAnsi="Times New Roman" w:cs="Times New Roman"/>
        </w:rPr>
        <w:t>p</w:t>
      </w:r>
      <w:r w:rsidR="00EC05C9">
        <w:rPr>
          <w:rFonts w:ascii="Times New Roman" w:hAnsi="Times New Roman" w:cs="Times New Roman"/>
        </w:rPr>
        <w:t>ë</w:t>
      </w:r>
      <w:r>
        <w:rPr>
          <w:rFonts w:ascii="Times New Roman" w:hAnsi="Times New Roman" w:cs="Times New Roman"/>
        </w:rPr>
        <w:t>r t</w:t>
      </w:r>
      <w:r w:rsidR="00EC05C9">
        <w:rPr>
          <w:rFonts w:ascii="Times New Roman" w:hAnsi="Times New Roman" w:cs="Times New Roman"/>
        </w:rPr>
        <w:t>ë</w:t>
      </w:r>
      <w:r>
        <w:rPr>
          <w:rFonts w:ascii="Times New Roman" w:hAnsi="Times New Roman" w:cs="Times New Roman"/>
        </w:rPr>
        <w:t xml:space="preserve"> drejtat dhe r</w:t>
      </w:r>
      <w:r w:rsidR="00EC05C9">
        <w:rPr>
          <w:rFonts w:ascii="Times New Roman" w:hAnsi="Times New Roman" w:cs="Times New Roman"/>
        </w:rPr>
        <w:t>ë</w:t>
      </w:r>
      <w:r>
        <w:rPr>
          <w:rFonts w:ascii="Times New Roman" w:hAnsi="Times New Roman" w:cs="Times New Roman"/>
        </w:rPr>
        <w:t>nd</w:t>
      </w:r>
      <w:r w:rsidR="00EC05C9">
        <w:rPr>
          <w:rFonts w:ascii="Times New Roman" w:hAnsi="Times New Roman" w:cs="Times New Roman"/>
        </w:rPr>
        <w:t>ë</w:t>
      </w:r>
      <w:r>
        <w:rPr>
          <w:rFonts w:ascii="Times New Roman" w:hAnsi="Times New Roman" w:cs="Times New Roman"/>
        </w:rPr>
        <w:t>sin</w:t>
      </w:r>
      <w:r w:rsidR="00EC05C9">
        <w:rPr>
          <w:rFonts w:ascii="Times New Roman" w:hAnsi="Times New Roman" w:cs="Times New Roman"/>
        </w:rPr>
        <w:t>ë</w:t>
      </w:r>
      <w:r>
        <w:rPr>
          <w:rFonts w:ascii="Times New Roman" w:hAnsi="Times New Roman" w:cs="Times New Roman"/>
        </w:rPr>
        <w:t xml:space="preserve"> e qasjes s</w:t>
      </w:r>
      <w:r w:rsidR="00EC05C9">
        <w:rPr>
          <w:rFonts w:ascii="Times New Roman" w:hAnsi="Times New Roman" w:cs="Times New Roman"/>
        </w:rPr>
        <w:t>ë</w:t>
      </w:r>
      <w:r>
        <w:rPr>
          <w:rFonts w:ascii="Times New Roman" w:hAnsi="Times New Roman" w:cs="Times New Roman"/>
        </w:rPr>
        <w:t xml:space="preserve"> barabrat</w:t>
      </w:r>
      <w:r w:rsidR="00EC05C9">
        <w:rPr>
          <w:rFonts w:ascii="Times New Roman" w:hAnsi="Times New Roman" w:cs="Times New Roman"/>
        </w:rPr>
        <w:t>ë</w:t>
      </w:r>
      <w:r>
        <w:rPr>
          <w:rFonts w:ascii="Times New Roman" w:hAnsi="Times New Roman" w:cs="Times New Roman"/>
        </w:rPr>
        <w:t xml:space="preserve"> t</w:t>
      </w:r>
      <w:r w:rsidR="00EC05C9">
        <w:rPr>
          <w:rFonts w:ascii="Times New Roman" w:hAnsi="Times New Roman" w:cs="Times New Roman"/>
        </w:rPr>
        <w:t>ë</w:t>
      </w:r>
      <w:r>
        <w:rPr>
          <w:rFonts w:ascii="Times New Roman" w:hAnsi="Times New Roman" w:cs="Times New Roman"/>
        </w:rPr>
        <w:t xml:space="preserve"> personave LGBTI+ n</w:t>
      </w:r>
      <w:r w:rsidR="00EC05C9">
        <w:rPr>
          <w:rFonts w:ascii="Times New Roman" w:hAnsi="Times New Roman" w:cs="Times New Roman"/>
        </w:rPr>
        <w:t>ë</w:t>
      </w:r>
      <w:r>
        <w:rPr>
          <w:rFonts w:ascii="Times New Roman" w:hAnsi="Times New Roman" w:cs="Times New Roman"/>
        </w:rPr>
        <w:t xml:space="preserve"> kujdesin sh</w:t>
      </w:r>
      <w:r w:rsidR="00EC05C9">
        <w:rPr>
          <w:rFonts w:ascii="Times New Roman" w:hAnsi="Times New Roman" w:cs="Times New Roman"/>
        </w:rPr>
        <w:t>ë</w:t>
      </w:r>
      <w:r>
        <w:rPr>
          <w:rFonts w:ascii="Times New Roman" w:hAnsi="Times New Roman" w:cs="Times New Roman"/>
        </w:rPr>
        <w:t>ndet</w:t>
      </w:r>
      <w:r w:rsidR="00EC05C9">
        <w:rPr>
          <w:rFonts w:ascii="Times New Roman" w:hAnsi="Times New Roman" w:cs="Times New Roman"/>
        </w:rPr>
        <w:t>ë</w:t>
      </w:r>
      <w:r>
        <w:rPr>
          <w:rFonts w:ascii="Times New Roman" w:hAnsi="Times New Roman" w:cs="Times New Roman"/>
        </w:rPr>
        <w:t>sor;</w:t>
      </w:r>
    </w:p>
    <w:p w:rsidR="003203DD" w:rsidRDefault="003203DD" w:rsidP="0005701D">
      <w:pPr>
        <w:pStyle w:val="NoSpacing"/>
        <w:numPr>
          <w:ilvl w:val="0"/>
          <w:numId w:val="53"/>
        </w:numPr>
        <w:spacing w:line="276" w:lineRule="auto"/>
        <w:jc w:val="both"/>
        <w:rPr>
          <w:rFonts w:ascii="Times New Roman" w:hAnsi="Times New Roman" w:cs="Times New Roman"/>
        </w:rPr>
      </w:pPr>
      <w:r>
        <w:rPr>
          <w:rFonts w:ascii="Times New Roman" w:hAnsi="Times New Roman" w:cs="Times New Roman"/>
        </w:rPr>
        <w:t>Promov</w:t>
      </w:r>
      <w:r w:rsidRPr="003203DD">
        <w:rPr>
          <w:rFonts w:ascii="Times New Roman" w:hAnsi="Times New Roman" w:cs="Times New Roman"/>
        </w:rPr>
        <w:t>i</w:t>
      </w:r>
      <w:r>
        <w:rPr>
          <w:rFonts w:ascii="Times New Roman" w:hAnsi="Times New Roman" w:cs="Times New Roman"/>
        </w:rPr>
        <w:t>mi</w:t>
      </w:r>
      <w:r w:rsidRPr="003203DD">
        <w:rPr>
          <w:rFonts w:ascii="Times New Roman" w:hAnsi="Times New Roman" w:cs="Times New Roman"/>
        </w:rPr>
        <w:t xml:space="preserve"> dhe </w:t>
      </w:r>
      <w:r>
        <w:rPr>
          <w:rFonts w:ascii="Times New Roman" w:hAnsi="Times New Roman" w:cs="Times New Roman"/>
        </w:rPr>
        <w:t>mbrojtja e</w:t>
      </w:r>
      <w:r w:rsidR="00537602">
        <w:rPr>
          <w:rFonts w:ascii="Times New Roman" w:hAnsi="Times New Roman" w:cs="Times New Roman"/>
        </w:rPr>
        <w:t xml:space="preserve"> të drejtave t</w:t>
      </w:r>
      <w:r w:rsidR="00EC05C9">
        <w:rPr>
          <w:rFonts w:ascii="Times New Roman" w:hAnsi="Times New Roman" w:cs="Times New Roman"/>
        </w:rPr>
        <w:t>ë</w:t>
      </w:r>
      <w:r w:rsidRPr="003203DD">
        <w:rPr>
          <w:rFonts w:ascii="Times New Roman" w:hAnsi="Times New Roman" w:cs="Times New Roman"/>
        </w:rPr>
        <w:t xml:space="preserve"> njeriut të personave </w:t>
      </w:r>
      <w:r>
        <w:rPr>
          <w:rFonts w:ascii="Times New Roman" w:hAnsi="Times New Roman" w:cs="Times New Roman"/>
        </w:rPr>
        <w:t>LGBTI+</w:t>
      </w:r>
      <w:r w:rsidRPr="003203DD">
        <w:rPr>
          <w:rFonts w:ascii="Times New Roman" w:hAnsi="Times New Roman" w:cs="Times New Roman"/>
        </w:rPr>
        <w:t xml:space="preserve"> </w:t>
      </w:r>
      <w:r>
        <w:rPr>
          <w:rFonts w:ascii="Times New Roman" w:hAnsi="Times New Roman" w:cs="Times New Roman"/>
        </w:rPr>
        <w:t>duke luftuar</w:t>
      </w:r>
      <w:r w:rsidRPr="003203DD">
        <w:rPr>
          <w:rFonts w:ascii="Times New Roman" w:hAnsi="Times New Roman" w:cs="Times New Roman"/>
        </w:rPr>
        <w:t xml:space="preserve"> diskriminimin strukturor</w:t>
      </w:r>
      <w:r>
        <w:rPr>
          <w:rFonts w:ascii="Times New Roman" w:hAnsi="Times New Roman" w:cs="Times New Roman"/>
        </w:rPr>
        <w:t>;</w:t>
      </w:r>
    </w:p>
    <w:p w:rsidR="00537602" w:rsidRDefault="00537602" w:rsidP="0005701D">
      <w:pPr>
        <w:pStyle w:val="NoSpacing"/>
        <w:numPr>
          <w:ilvl w:val="0"/>
          <w:numId w:val="53"/>
        </w:numPr>
        <w:spacing w:line="276" w:lineRule="auto"/>
        <w:jc w:val="both"/>
        <w:rPr>
          <w:rFonts w:ascii="Times New Roman" w:hAnsi="Times New Roman" w:cs="Times New Roman"/>
        </w:rPr>
      </w:pPr>
      <w:r w:rsidRPr="00537602">
        <w:rPr>
          <w:rFonts w:ascii="Times New Roman" w:hAnsi="Times New Roman" w:cs="Times New Roman"/>
        </w:rPr>
        <w:t xml:space="preserve">Zhvillimi i programeve në shkolla për të eleminuar ngacmimet ndaj fëmijëve dhe adoleshentëve </w:t>
      </w:r>
      <w:r>
        <w:rPr>
          <w:rFonts w:ascii="Times New Roman" w:hAnsi="Times New Roman" w:cs="Times New Roman"/>
        </w:rPr>
        <w:t>LGBTI+</w:t>
      </w:r>
      <w:r w:rsidRPr="00537602">
        <w:rPr>
          <w:rFonts w:ascii="Times New Roman" w:hAnsi="Times New Roman" w:cs="Times New Roman"/>
        </w:rPr>
        <w:t xml:space="preserve"> dhe zbatimi i masave mbështetëse psikologjike për të zvogëluar përqindjet e braktisjes së </w:t>
      </w:r>
      <w:r>
        <w:rPr>
          <w:rFonts w:ascii="Times New Roman" w:hAnsi="Times New Roman" w:cs="Times New Roman"/>
        </w:rPr>
        <w:t>shkoll</w:t>
      </w:r>
      <w:r w:rsidR="00EC05C9">
        <w:rPr>
          <w:rFonts w:ascii="Times New Roman" w:hAnsi="Times New Roman" w:cs="Times New Roman"/>
        </w:rPr>
        <w:t>ë</w:t>
      </w:r>
      <w:r>
        <w:rPr>
          <w:rFonts w:ascii="Times New Roman" w:hAnsi="Times New Roman" w:cs="Times New Roman"/>
        </w:rPr>
        <w:t>s nga ana e tyre;</w:t>
      </w:r>
    </w:p>
    <w:p w:rsidR="00537602" w:rsidRPr="00537602" w:rsidRDefault="00537602" w:rsidP="0005701D">
      <w:pPr>
        <w:pStyle w:val="NoSpacing"/>
        <w:numPr>
          <w:ilvl w:val="0"/>
          <w:numId w:val="53"/>
        </w:numPr>
        <w:spacing w:line="276" w:lineRule="auto"/>
        <w:jc w:val="both"/>
        <w:rPr>
          <w:rFonts w:ascii="Times New Roman" w:hAnsi="Times New Roman" w:cs="Times New Roman"/>
        </w:rPr>
      </w:pPr>
      <w:r w:rsidRPr="00537602">
        <w:rPr>
          <w:rFonts w:ascii="Times New Roman" w:hAnsi="Times New Roman" w:cs="Times New Roman"/>
        </w:rPr>
        <w:t>Ndryshimi i Kodit të Familjes për të siguruar n</w:t>
      </w:r>
      <w:r>
        <w:rPr>
          <w:rFonts w:ascii="Times New Roman" w:hAnsi="Times New Roman" w:cs="Times New Roman"/>
        </w:rPr>
        <w:t xml:space="preserve">johjen ligjore për çiftet </w:t>
      </w:r>
      <w:r w:rsidRPr="00537602">
        <w:rPr>
          <w:rFonts w:ascii="Times New Roman" w:hAnsi="Times New Roman" w:cs="Times New Roman"/>
        </w:rPr>
        <w:t>e të njëjtit seks dhe miratimin e dispozitave që lejojnë njohjen ligjore të gjinisë së individëve trans</w:t>
      </w:r>
      <w:r>
        <w:rPr>
          <w:rFonts w:ascii="Times New Roman" w:hAnsi="Times New Roman" w:cs="Times New Roman"/>
        </w:rPr>
        <w:t>; etj.</w:t>
      </w:r>
    </w:p>
    <w:p w:rsidR="003203DD" w:rsidRDefault="003203DD" w:rsidP="0088544A">
      <w:pPr>
        <w:pStyle w:val="NoSpacing"/>
        <w:spacing w:line="276" w:lineRule="auto"/>
        <w:jc w:val="both"/>
        <w:rPr>
          <w:rFonts w:ascii="Times New Roman" w:hAnsi="Times New Roman" w:cs="Times New Roman"/>
        </w:rPr>
      </w:pPr>
    </w:p>
    <w:p w:rsidR="003F1EFF" w:rsidRDefault="003F1EFF" w:rsidP="0088544A">
      <w:pPr>
        <w:pStyle w:val="NoSpacing"/>
        <w:spacing w:line="276" w:lineRule="auto"/>
        <w:jc w:val="both"/>
        <w:rPr>
          <w:rFonts w:ascii="Times New Roman" w:hAnsi="Times New Roman" w:cs="Times New Roman"/>
        </w:rPr>
      </w:pPr>
      <w:r>
        <w:rPr>
          <w:rFonts w:ascii="Times New Roman" w:hAnsi="Times New Roman" w:cs="Times New Roman"/>
        </w:rPr>
        <w:t>Nga një vlerësim i përgjithshëm i kuadrit ligjor, rezulton se ka disa ligje të cilat kanë nevojë për rishikim dhe përmirësim, bazuar edhe në rekomadimet e dhëna nga raportet dhe institucionet e sipërcituara</w:t>
      </w:r>
      <w:r w:rsidR="006E1EAC">
        <w:rPr>
          <w:rFonts w:ascii="Times New Roman" w:hAnsi="Times New Roman" w:cs="Times New Roman"/>
        </w:rPr>
        <w:t>, t</w:t>
      </w:r>
      <w:r w:rsidR="00EC05C9">
        <w:rPr>
          <w:rFonts w:ascii="Times New Roman" w:hAnsi="Times New Roman" w:cs="Times New Roman"/>
        </w:rPr>
        <w:t>ë</w:t>
      </w:r>
      <w:r w:rsidR="006E1EAC">
        <w:rPr>
          <w:rFonts w:ascii="Times New Roman" w:hAnsi="Times New Roman" w:cs="Times New Roman"/>
        </w:rPr>
        <w:t xml:space="preserve"> tilla si: </w:t>
      </w:r>
    </w:p>
    <w:p w:rsidR="006E1EAC" w:rsidRPr="004A2C73" w:rsidRDefault="006E1EAC" w:rsidP="006E1EAC">
      <w:pPr>
        <w:shd w:val="clear" w:color="auto" w:fill="FFFFFF"/>
        <w:jc w:val="both"/>
        <w:rPr>
          <w:rFonts w:ascii="Arial" w:eastAsia="Times New Roman" w:hAnsi="Arial" w:cs="Arial"/>
          <w:spacing w:val="-2"/>
          <w:lang w:val="en-US" w:eastAsia="en-US"/>
        </w:rPr>
      </w:pPr>
      <w:r w:rsidRPr="004A2C73">
        <w:rPr>
          <w:rFonts w:eastAsia="Times New Roman"/>
          <w:b/>
          <w:bCs/>
          <w:color w:val="222222"/>
          <w:lang w:eastAsia="en-US"/>
        </w:rPr>
        <w:t>Ligji nr. 9062, datë 08.05.2003 “Kodi i Familjes”, i ndryshuar.</w:t>
      </w:r>
      <w:r>
        <w:t xml:space="preserve"> </w:t>
      </w:r>
      <w:r w:rsidRPr="004A2C73">
        <w:t xml:space="preserve">Kushtetuta e Republikës së Shqipërisë njeh të drejtën e martesës dhe familjes për të gjithë (neni 53), ndërsa Kodi i Familjes e përkufizon martesën si një institucion ndërmjet një burri dhe një gruaje, gjë që në thelb ndalon martesat brenda seksit (neni 163). Në lidhje me bashkëjetesën nuk ka ndonjë ndalim për bashkëjetesat homoseksuale. </w:t>
      </w:r>
    </w:p>
    <w:p w:rsidR="006E1EAC" w:rsidRDefault="006E1EAC" w:rsidP="006E1EAC">
      <w:pPr>
        <w:shd w:val="clear" w:color="auto" w:fill="FFFFFF"/>
        <w:jc w:val="both"/>
      </w:pPr>
    </w:p>
    <w:p w:rsidR="006E1EAC" w:rsidRPr="00C70695" w:rsidRDefault="006E1EAC" w:rsidP="00C70695">
      <w:pPr>
        <w:shd w:val="clear" w:color="auto" w:fill="FFFFFF"/>
        <w:jc w:val="both"/>
      </w:pPr>
      <w:r w:rsidRPr="00E24729">
        <w:rPr>
          <w:rFonts w:eastAsia="Times New Roman"/>
          <w:b/>
          <w:bCs/>
          <w:color w:val="222222"/>
          <w:lang w:eastAsia="en-US"/>
        </w:rPr>
        <w:t>Ligjit nr.9695, datë 19.3.2007 “Për Birësimin”, i ndryshuar</w:t>
      </w:r>
      <w:r>
        <w:rPr>
          <w:rFonts w:eastAsia="Times New Roman"/>
          <w:b/>
          <w:bCs/>
          <w:color w:val="222222"/>
          <w:lang w:eastAsia="en-US"/>
        </w:rPr>
        <w:t>.</w:t>
      </w:r>
      <w:r w:rsidRPr="00E24729">
        <w:rPr>
          <w:b/>
          <w:bCs/>
        </w:rPr>
        <w:t xml:space="preserve"> </w:t>
      </w:r>
      <w:r w:rsidRPr="004A2C73">
        <w:t xml:space="preserve">Partnerët e të njëjtit seks nuk mund të birësojnë fëmijë së bashku, për shkak se një i mitur nuk mund të birësohet nga më shumë se një person përveç rastit kur këta persona janë bashkëshortë, që do të thotë burrë dhe </w:t>
      </w:r>
      <w:r w:rsidRPr="004A2C73">
        <w:lastRenderedPageBreak/>
        <w:t xml:space="preserve">grua (neni 242). Sipas </w:t>
      </w:r>
      <w:r w:rsidRPr="004A2C73">
        <w:rPr>
          <w:rFonts w:eastAsia="Times New Roman"/>
          <w:color w:val="222222"/>
          <w:lang w:eastAsia="en-US"/>
        </w:rPr>
        <w:t>Ligjit nr.9695, datë 19.3.2007 “Për Birësimin”, i ndryshuar</w:t>
      </w:r>
      <w:r w:rsidRPr="004A2C73">
        <w:t xml:space="preserve"> (Neni16/2), personi që bën kërkesë për birësim fëmije duhet të plotësojë kushtet sipas Kodit të Familjes, që do të thotë të jetë në marrëdhënie bashkëshortore (neni 242).</w:t>
      </w:r>
    </w:p>
    <w:p w:rsidR="00904465" w:rsidRDefault="006E1EAC" w:rsidP="0088544A">
      <w:pPr>
        <w:pStyle w:val="NoSpacing"/>
        <w:spacing w:line="276" w:lineRule="auto"/>
        <w:jc w:val="both"/>
        <w:rPr>
          <w:rFonts w:ascii="Times New Roman" w:hAnsi="Times New Roman" w:cs="Times New Roman"/>
        </w:rPr>
      </w:pPr>
      <w:r>
        <w:rPr>
          <w:rFonts w:ascii="Times New Roman" w:hAnsi="Times New Roman" w:cs="Times New Roman"/>
        </w:rPr>
        <w:t>Nga</w:t>
      </w:r>
      <w:r w:rsidR="00904465">
        <w:rPr>
          <w:rFonts w:ascii="Times New Roman" w:hAnsi="Times New Roman" w:cs="Times New Roman"/>
        </w:rPr>
        <w:t xml:space="preserve"> procesi i </w:t>
      </w:r>
      <w:r w:rsidRPr="00500DFC">
        <w:rPr>
          <w:rFonts w:ascii="Times New Roman" w:hAnsi="Times New Roman" w:cs="Times New Roman"/>
          <w:b/>
        </w:rPr>
        <w:t>V</w:t>
      </w:r>
      <w:r w:rsidR="00904465" w:rsidRPr="0005701D">
        <w:rPr>
          <w:rFonts w:ascii="Times New Roman" w:hAnsi="Times New Roman" w:cs="Times New Roman"/>
          <w:b/>
        </w:rPr>
        <w:t>ler</w:t>
      </w:r>
      <w:r w:rsidR="0051477D" w:rsidRPr="0005701D">
        <w:rPr>
          <w:rFonts w:ascii="Times New Roman" w:hAnsi="Times New Roman" w:cs="Times New Roman"/>
          <w:b/>
        </w:rPr>
        <w:t>ë</w:t>
      </w:r>
      <w:r w:rsidR="00904465" w:rsidRPr="0005701D">
        <w:rPr>
          <w:rFonts w:ascii="Times New Roman" w:hAnsi="Times New Roman" w:cs="Times New Roman"/>
          <w:b/>
        </w:rPr>
        <w:t>simit t</w:t>
      </w:r>
      <w:r w:rsidR="0051477D" w:rsidRPr="0005701D">
        <w:rPr>
          <w:rFonts w:ascii="Times New Roman" w:hAnsi="Times New Roman" w:cs="Times New Roman"/>
          <w:b/>
        </w:rPr>
        <w:t>ë</w:t>
      </w:r>
      <w:r w:rsidRPr="00500DFC">
        <w:rPr>
          <w:rFonts w:ascii="Times New Roman" w:hAnsi="Times New Roman" w:cs="Times New Roman"/>
          <w:b/>
        </w:rPr>
        <w:t xml:space="preserve"> Z</w:t>
      </w:r>
      <w:r w:rsidR="00904465" w:rsidRPr="0005701D">
        <w:rPr>
          <w:rFonts w:ascii="Times New Roman" w:hAnsi="Times New Roman" w:cs="Times New Roman"/>
          <w:b/>
        </w:rPr>
        <w:t>batimit t</w:t>
      </w:r>
      <w:r w:rsidR="0051477D" w:rsidRPr="0005701D">
        <w:rPr>
          <w:rFonts w:ascii="Times New Roman" w:hAnsi="Times New Roman" w:cs="Times New Roman"/>
          <w:b/>
        </w:rPr>
        <w:t>ë</w:t>
      </w:r>
      <w:r w:rsidR="00904465" w:rsidRPr="0005701D">
        <w:rPr>
          <w:rFonts w:ascii="Times New Roman" w:hAnsi="Times New Roman" w:cs="Times New Roman"/>
          <w:b/>
        </w:rPr>
        <w:t xml:space="preserve"> PKV p</w:t>
      </w:r>
      <w:r w:rsidR="0051477D" w:rsidRPr="0005701D">
        <w:rPr>
          <w:rFonts w:ascii="Times New Roman" w:hAnsi="Times New Roman" w:cs="Times New Roman"/>
          <w:b/>
        </w:rPr>
        <w:t>ë</w:t>
      </w:r>
      <w:r w:rsidR="00904465" w:rsidRPr="0005701D">
        <w:rPr>
          <w:rFonts w:ascii="Times New Roman" w:hAnsi="Times New Roman" w:cs="Times New Roman"/>
          <w:b/>
        </w:rPr>
        <w:t>r personat LGBTI n</w:t>
      </w:r>
      <w:r w:rsidR="0051477D" w:rsidRPr="0005701D">
        <w:rPr>
          <w:rFonts w:ascii="Times New Roman" w:hAnsi="Times New Roman" w:cs="Times New Roman"/>
          <w:b/>
        </w:rPr>
        <w:t>ë</w:t>
      </w:r>
      <w:r w:rsidR="00904465" w:rsidRPr="0005701D">
        <w:rPr>
          <w:rFonts w:ascii="Times New Roman" w:hAnsi="Times New Roman" w:cs="Times New Roman"/>
          <w:b/>
        </w:rPr>
        <w:t xml:space="preserve"> RSH p</w:t>
      </w:r>
      <w:r w:rsidR="0051477D" w:rsidRPr="0005701D">
        <w:rPr>
          <w:rFonts w:ascii="Times New Roman" w:hAnsi="Times New Roman" w:cs="Times New Roman"/>
          <w:b/>
        </w:rPr>
        <w:t>ë</w:t>
      </w:r>
      <w:r w:rsidR="00904465" w:rsidRPr="0005701D">
        <w:rPr>
          <w:rFonts w:ascii="Times New Roman" w:hAnsi="Times New Roman" w:cs="Times New Roman"/>
          <w:b/>
        </w:rPr>
        <w:t>r p</w:t>
      </w:r>
      <w:r w:rsidR="0051477D" w:rsidRPr="0005701D">
        <w:rPr>
          <w:rFonts w:ascii="Times New Roman" w:hAnsi="Times New Roman" w:cs="Times New Roman"/>
          <w:b/>
        </w:rPr>
        <w:t>e</w:t>
      </w:r>
      <w:r w:rsidR="00904465" w:rsidRPr="0005701D">
        <w:rPr>
          <w:rFonts w:ascii="Times New Roman" w:hAnsi="Times New Roman" w:cs="Times New Roman"/>
          <w:b/>
        </w:rPr>
        <w:t>riudh</w:t>
      </w:r>
      <w:r w:rsidR="0051477D" w:rsidRPr="0005701D">
        <w:rPr>
          <w:rFonts w:ascii="Times New Roman" w:hAnsi="Times New Roman" w:cs="Times New Roman"/>
          <w:b/>
        </w:rPr>
        <w:t>ë</w:t>
      </w:r>
      <w:r w:rsidR="00904465" w:rsidRPr="0005701D">
        <w:rPr>
          <w:rFonts w:ascii="Times New Roman" w:hAnsi="Times New Roman" w:cs="Times New Roman"/>
          <w:b/>
        </w:rPr>
        <w:t>n 2016 –</w:t>
      </w:r>
      <w:r w:rsidRPr="0005701D">
        <w:rPr>
          <w:rFonts w:ascii="Times New Roman" w:hAnsi="Times New Roman" w:cs="Times New Roman"/>
          <w:b/>
        </w:rPr>
        <w:t xml:space="preserve"> 2020</w:t>
      </w:r>
      <w:r>
        <w:rPr>
          <w:rFonts w:ascii="Times New Roman" w:hAnsi="Times New Roman" w:cs="Times New Roman"/>
        </w:rPr>
        <w:t>, rezulton se:</w:t>
      </w:r>
      <w:r w:rsidR="00904465">
        <w:rPr>
          <w:rFonts w:ascii="Times New Roman" w:hAnsi="Times New Roman" w:cs="Times New Roman"/>
        </w:rPr>
        <w:t xml:space="preserve"> </w:t>
      </w:r>
    </w:p>
    <w:p w:rsidR="00350A0C" w:rsidRDefault="00904465" w:rsidP="0005701D">
      <w:pPr>
        <w:pStyle w:val="NoSpacing"/>
        <w:numPr>
          <w:ilvl w:val="0"/>
          <w:numId w:val="55"/>
        </w:numPr>
        <w:spacing w:line="276" w:lineRule="auto"/>
        <w:jc w:val="both"/>
      </w:pPr>
      <w:r>
        <w:rPr>
          <w:rFonts w:ascii="Times New Roman" w:hAnsi="Times New Roman" w:cs="Times New Roman"/>
        </w:rPr>
        <w:t>Pavar</w:t>
      </w:r>
      <w:r w:rsidR="0051477D">
        <w:rPr>
          <w:rFonts w:ascii="Times New Roman" w:hAnsi="Times New Roman" w:cs="Times New Roman"/>
        </w:rPr>
        <w:t>ë</w:t>
      </w:r>
      <w:r>
        <w:rPr>
          <w:rFonts w:ascii="Times New Roman" w:hAnsi="Times New Roman" w:cs="Times New Roman"/>
        </w:rPr>
        <w:t>sisht p</w:t>
      </w:r>
      <w:r w:rsidR="0051477D">
        <w:rPr>
          <w:rFonts w:ascii="Times New Roman" w:hAnsi="Times New Roman" w:cs="Times New Roman"/>
        </w:rPr>
        <w:t>ë</w:t>
      </w:r>
      <w:r>
        <w:rPr>
          <w:rFonts w:ascii="Times New Roman" w:hAnsi="Times New Roman" w:cs="Times New Roman"/>
        </w:rPr>
        <w:t>rmir</w:t>
      </w:r>
      <w:r w:rsidR="0051477D">
        <w:rPr>
          <w:rFonts w:ascii="Times New Roman" w:hAnsi="Times New Roman" w:cs="Times New Roman"/>
        </w:rPr>
        <w:t>ë</w:t>
      </w:r>
      <w:r>
        <w:rPr>
          <w:rFonts w:ascii="Times New Roman" w:hAnsi="Times New Roman" w:cs="Times New Roman"/>
        </w:rPr>
        <w:t xml:space="preserve">simeve </w:t>
      </w:r>
      <w:r w:rsidR="0088544A" w:rsidRPr="00374C39">
        <w:rPr>
          <w:rFonts w:ascii="Times New Roman" w:hAnsi="Times New Roman" w:cs="Times New Roman"/>
        </w:rPr>
        <w:t>të ndjeshme në periudhën 2016-2020</w:t>
      </w:r>
      <w:r>
        <w:rPr>
          <w:rFonts w:ascii="Times New Roman" w:hAnsi="Times New Roman" w:cs="Times New Roman"/>
        </w:rPr>
        <w:t xml:space="preserve">, jo </w:t>
      </w:r>
      <w:r w:rsidR="00277FA4">
        <w:rPr>
          <w:rFonts w:ascii="Times New Roman" w:hAnsi="Times New Roman" w:cs="Times New Roman"/>
        </w:rPr>
        <w:t>t</w:t>
      </w:r>
      <w:r w:rsidR="0051477D">
        <w:rPr>
          <w:rFonts w:ascii="Times New Roman" w:hAnsi="Times New Roman" w:cs="Times New Roman"/>
        </w:rPr>
        <w:t>ë</w:t>
      </w:r>
      <w:r w:rsidR="00277FA4">
        <w:rPr>
          <w:rFonts w:ascii="Times New Roman" w:hAnsi="Times New Roman" w:cs="Times New Roman"/>
        </w:rPr>
        <w:t xml:space="preserve"> gjith</w:t>
      </w:r>
      <w:r w:rsidR="0051477D">
        <w:rPr>
          <w:rFonts w:ascii="Times New Roman" w:hAnsi="Times New Roman" w:cs="Times New Roman"/>
        </w:rPr>
        <w:t>ë</w:t>
      </w:r>
      <w:r w:rsidR="00277FA4">
        <w:rPr>
          <w:rFonts w:ascii="Times New Roman" w:hAnsi="Times New Roman" w:cs="Times New Roman"/>
        </w:rPr>
        <w:t xml:space="preserve"> personat LGBTI+ n</w:t>
      </w:r>
      <w:r w:rsidR="0051477D">
        <w:rPr>
          <w:rFonts w:ascii="Times New Roman" w:hAnsi="Times New Roman" w:cs="Times New Roman"/>
        </w:rPr>
        <w:t>ë</w:t>
      </w:r>
      <w:r w:rsidR="00277FA4">
        <w:rPr>
          <w:rFonts w:ascii="Times New Roman" w:hAnsi="Times New Roman" w:cs="Times New Roman"/>
        </w:rPr>
        <w:t xml:space="preserve"> mb</w:t>
      </w:r>
      <w:r>
        <w:rPr>
          <w:rFonts w:ascii="Times New Roman" w:hAnsi="Times New Roman" w:cs="Times New Roman"/>
        </w:rPr>
        <w:t>ar</w:t>
      </w:r>
      <w:r w:rsidR="0051477D">
        <w:rPr>
          <w:rFonts w:ascii="Times New Roman" w:hAnsi="Times New Roman" w:cs="Times New Roman"/>
        </w:rPr>
        <w:t>ë</w:t>
      </w:r>
      <w:r>
        <w:rPr>
          <w:rFonts w:ascii="Times New Roman" w:hAnsi="Times New Roman" w:cs="Times New Roman"/>
        </w:rPr>
        <w:t xml:space="preserve"> vendin jan</w:t>
      </w:r>
      <w:r w:rsidR="0051477D">
        <w:rPr>
          <w:rFonts w:ascii="Times New Roman" w:hAnsi="Times New Roman" w:cs="Times New Roman"/>
        </w:rPr>
        <w:t>ë</w:t>
      </w:r>
      <w:r>
        <w:rPr>
          <w:rFonts w:ascii="Times New Roman" w:hAnsi="Times New Roman" w:cs="Times New Roman"/>
        </w:rPr>
        <w:t xml:space="preserve"> trajtuar apo kan</w:t>
      </w:r>
      <w:r w:rsidR="0051477D">
        <w:rPr>
          <w:rFonts w:ascii="Times New Roman" w:hAnsi="Times New Roman" w:cs="Times New Roman"/>
        </w:rPr>
        <w:t>ë</w:t>
      </w:r>
      <w:r>
        <w:rPr>
          <w:rFonts w:ascii="Times New Roman" w:hAnsi="Times New Roman" w:cs="Times New Roman"/>
        </w:rPr>
        <w:t xml:space="preserve"> p</w:t>
      </w:r>
      <w:r w:rsidR="0051477D">
        <w:rPr>
          <w:rFonts w:ascii="Times New Roman" w:hAnsi="Times New Roman" w:cs="Times New Roman"/>
        </w:rPr>
        <w:t>ë</w:t>
      </w:r>
      <w:r>
        <w:rPr>
          <w:rFonts w:ascii="Times New Roman" w:hAnsi="Times New Roman" w:cs="Times New Roman"/>
        </w:rPr>
        <w:t>rfituar nj</w:t>
      </w:r>
      <w:r w:rsidR="0051477D">
        <w:rPr>
          <w:rFonts w:ascii="Times New Roman" w:hAnsi="Times New Roman" w:cs="Times New Roman"/>
        </w:rPr>
        <w:t>ë</w:t>
      </w:r>
      <w:r>
        <w:rPr>
          <w:rFonts w:ascii="Times New Roman" w:hAnsi="Times New Roman" w:cs="Times New Roman"/>
        </w:rPr>
        <w:t>lloj. P</w:t>
      </w:r>
      <w:r w:rsidR="0051477D">
        <w:rPr>
          <w:rFonts w:ascii="Times New Roman" w:hAnsi="Times New Roman" w:cs="Times New Roman"/>
        </w:rPr>
        <w:t>ë</w:t>
      </w:r>
      <w:r>
        <w:rPr>
          <w:rFonts w:ascii="Times New Roman" w:hAnsi="Times New Roman" w:cs="Times New Roman"/>
        </w:rPr>
        <w:t>rmir</w:t>
      </w:r>
      <w:r w:rsidR="0051477D">
        <w:rPr>
          <w:rFonts w:ascii="Times New Roman" w:hAnsi="Times New Roman" w:cs="Times New Roman"/>
        </w:rPr>
        <w:t>ë</w:t>
      </w:r>
      <w:r>
        <w:rPr>
          <w:rFonts w:ascii="Times New Roman" w:hAnsi="Times New Roman" w:cs="Times New Roman"/>
        </w:rPr>
        <w:t>simet v</w:t>
      </w:r>
      <w:r w:rsidR="0051477D">
        <w:rPr>
          <w:rFonts w:ascii="Times New Roman" w:hAnsi="Times New Roman" w:cs="Times New Roman"/>
        </w:rPr>
        <w:t>ë</w:t>
      </w:r>
      <w:r>
        <w:rPr>
          <w:rFonts w:ascii="Times New Roman" w:hAnsi="Times New Roman" w:cs="Times New Roman"/>
        </w:rPr>
        <w:t>rehen m</w:t>
      </w:r>
      <w:r w:rsidR="0051477D">
        <w:rPr>
          <w:rFonts w:ascii="Times New Roman" w:hAnsi="Times New Roman" w:cs="Times New Roman"/>
        </w:rPr>
        <w:t>ë</w:t>
      </w:r>
      <w:r>
        <w:rPr>
          <w:rFonts w:ascii="Times New Roman" w:hAnsi="Times New Roman" w:cs="Times New Roman"/>
        </w:rPr>
        <w:t xml:space="preserve"> s</w:t>
      </w:r>
      <w:r w:rsidR="0051477D">
        <w:rPr>
          <w:rFonts w:ascii="Times New Roman" w:hAnsi="Times New Roman" w:cs="Times New Roman"/>
        </w:rPr>
        <w:t>ë</w:t>
      </w:r>
      <w:r>
        <w:rPr>
          <w:rFonts w:ascii="Times New Roman" w:hAnsi="Times New Roman" w:cs="Times New Roman"/>
        </w:rPr>
        <w:t xml:space="preserve"> shumti </w:t>
      </w:r>
      <w:r w:rsidR="00277FA4">
        <w:rPr>
          <w:rFonts w:ascii="Times New Roman" w:hAnsi="Times New Roman" w:cs="Times New Roman"/>
        </w:rPr>
        <w:t>tek personat</w:t>
      </w:r>
      <w:r>
        <w:rPr>
          <w:rFonts w:ascii="Times New Roman" w:hAnsi="Times New Roman" w:cs="Times New Roman"/>
        </w:rPr>
        <w:t xml:space="preserve"> LGBTI+ </w:t>
      </w:r>
      <w:r w:rsidR="0088544A" w:rsidRPr="00374C39">
        <w:rPr>
          <w:rFonts w:ascii="Times New Roman" w:hAnsi="Times New Roman" w:cs="Times New Roman"/>
        </w:rPr>
        <w:t xml:space="preserve">në kryeqytet, Tiranë, dhe kryesisht </w:t>
      </w:r>
      <w:r w:rsidR="00277FA4">
        <w:rPr>
          <w:rFonts w:ascii="Times New Roman" w:hAnsi="Times New Roman" w:cs="Times New Roman"/>
        </w:rPr>
        <w:t xml:space="preserve">tek </w:t>
      </w:r>
      <w:r w:rsidR="0088544A" w:rsidRPr="00374C39">
        <w:rPr>
          <w:rFonts w:ascii="Times New Roman" w:hAnsi="Times New Roman" w:cs="Times New Roman"/>
        </w:rPr>
        <w:t xml:space="preserve">persona lezbike, gej dhe biseksualë. </w:t>
      </w:r>
      <w:r w:rsidR="00277FA4">
        <w:rPr>
          <w:rFonts w:ascii="Times New Roman" w:hAnsi="Times New Roman" w:cs="Times New Roman"/>
        </w:rPr>
        <w:t>Nd</w:t>
      </w:r>
      <w:r w:rsidR="0051477D">
        <w:rPr>
          <w:rFonts w:ascii="Times New Roman" w:hAnsi="Times New Roman" w:cs="Times New Roman"/>
        </w:rPr>
        <w:t>ë</w:t>
      </w:r>
      <w:r w:rsidR="00277FA4">
        <w:rPr>
          <w:rFonts w:ascii="Times New Roman" w:hAnsi="Times New Roman" w:cs="Times New Roman"/>
        </w:rPr>
        <w:t>rsa p</w:t>
      </w:r>
      <w:r w:rsidR="0088544A" w:rsidRPr="00374C39">
        <w:rPr>
          <w:rFonts w:ascii="Times New Roman" w:hAnsi="Times New Roman" w:cs="Times New Roman"/>
        </w:rPr>
        <w:t xml:space="preserve">ersonat </w:t>
      </w:r>
      <w:r w:rsidR="0088544A">
        <w:rPr>
          <w:rFonts w:ascii="Times New Roman" w:hAnsi="Times New Roman" w:cs="Times New Roman"/>
        </w:rPr>
        <w:t>LGBTI</w:t>
      </w:r>
      <w:r w:rsidR="00277FA4">
        <w:rPr>
          <w:rFonts w:ascii="Times New Roman" w:hAnsi="Times New Roman" w:cs="Times New Roman"/>
        </w:rPr>
        <w:t>+</w:t>
      </w:r>
      <w:r w:rsidR="0088544A" w:rsidRPr="00374C39">
        <w:rPr>
          <w:rFonts w:ascii="Times New Roman" w:hAnsi="Times New Roman" w:cs="Times New Roman"/>
        </w:rPr>
        <w:t xml:space="preserve"> të cilët jetojnë jashtë Tiranës dhe në veçanti, personat transgjinorë dhe interseks kanë parë </w:t>
      </w:r>
      <w:r w:rsidR="00277FA4">
        <w:rPr>
          <w:rFonts w:ascii="Times New Roman" w:hAnsi="Times New Roman" w:cs="Times New Roman"/>
        </w:rPr>
        <w:t>m</w:t>
      </w:r>
      <w:r w:rsidR="0051477D">
        <w:rPr>
          <w:rFonts w:ascii="Times New Roman" w:hAnsi="Times New Roman" w:cs="Times New Roman"/>
        </w:rPr>
        <w:t>ë</w:t>
      </w:r>
      <w:r w:rsidR="00277FA4">
        <w:rPr>
          <w:rFonts w:ascii="Times New Roman" w:hAnsi="Times New Roman" w:cs="Times New Roman"/>
        </w:rPr>
        <w:t xml:space="preserve"> </w:t>
      </w:r>
      <w:r w:rsidR="0088544A" w:rsidRPr="00374C39">
        <w:rPr>
          <w:rFonts w:ascii="Times New Roman" w:hAnsi="Times New Roman" w:cs="Times New Roman"/>
        </w:rPr>
        <w:t xml:space="preserve">pak progres. </w:t>
      </w:r>
    </w:p>
    <w:p w:rsidR="00350A0C" w:rsidRDefault="0088544A" w:rsidP="0005701D">
      <w:pPr>
        <w:pStyle w:val="NoSpacing"/>
        <w:numPr>
          <w:ilvl w:val="0"/>
          <w:numId w:val="55"/>
        </w:numPr>
        <w:spacing w:line="276" w:lineRule="auto"/>
        <w:jc w:val="both"/>
      </w:pPr>
      <w:r w:rsidRPr="00374C39">
        <w:rPr>
          <w:rFonts w:ascii="Times New Roman" w:hAnsi="Times New Roman" w:cs="Times New Roman"/>
        </w:rPr>
        <w:t xml:space="preserve">Përveç adresimit të nevojave aktuale të personave </w:t>
      </w:r>
      <w:r>
        <w:rPr>
          <w:rFonts w:ascii="Times New Roman" w:hAnsi="Times New Roman" w:cs="Times New Roman"/>
        </w:rPr>
        <w:t>LGBTI</w:t>
      </w:r>
      <w:r w:rsidR="00277FA4">
        <w:rPr>
          <w:rFonts w:ascii="Times New Roman" w:hAnsi="Times New Roman" w:cs="Times New Roman"/>
        </w:rPr>
        <w:t>+</w:t>
      </w:r>
      <w:r w:rsidRPr="00374C39">
        <w:rPr>
          <w:rFonts w:ascii="Times New Roman" w:hAnsi="Times New Roman" w:cs="Times New Roman"/>
        </w:rPr>
        <w:t xml:space="preserve"> në Shqipëri, është gjithashtu e rëndësishme që Shqipëria të përmbushë kushtet lidhur me të drejtat e njeriut të personave </w:t>
      </w:r>
      <w:r>
        <w:rPr>
          <w:rFonts w:ascii="Times New Roman" w:hAnsi="Times New Roman" w:cs="Times New Roman"/>
        </w:rPr>
        <w:t>LGBTI</w:t>
      </w:r>
      <w:r w:rsidR="00277FA4">
        <w:rPr>
          <w:rFonts w:ascii="Times New Roman" w:hAnsi="Times New Roman" w:cs="Times New Roman"/>
        </w:rPr>
        <w:t>+</w:t>
      </w:r>
      <w:r w:rsidRPr="00374C39">
        <w:rPr>
          <w:rFonts w:ascii="Times New Roman" w:hAnsi="Times New Roman" w:cs="Times New Roman"/>
        </w:rPr>
        <w:t xml:space="preserve"> për anëtarësim në BE, rekomandimet e ECRI të KE dhe rekomandimet dhe detyrimet e tjera ndërkombëtare</w:t>
      </w:r>
      <w:r>
        <w:rPr>
          <w:rFonts w:ascii="Times New Roman" w:hAnsi="Times New Roman" w:cs="Times New Roman"/>
        </w:rPr>
        <w:t xml:space="preserve"> p</w:t>
      </w:r>
      <w:r w:rsidR="00277FA4">
        <w:rPr>
          <w:rFonts w:ascii="Times New Roman" w:hAnsi="Times New Roman" w:cs="Times New Roman"/>
        </w:rPr>
        <w:t>ë</w:t>
      </w:r>
      <w:r>
        <w:rPr>
          <w:rFonts w:ascii="Times New Roman" w:hAnsi="Times New Roman" w:cs="Times New Roman"/>
        </w:rPr>
        <w:t>rkat</w:t>
      </w:r>
      <w:r w:rsidR="00277FA4">
        <w:rPr>
          <w:rFonts w:ascii="Times New Roman" w:hAnsi="Times New Roman" w:cs="Times New Roman"/>
        </w:rPr>
        <w:t>ë</w:t>
      </w:r>
      <w:r>
        <w:rPr>
          <w:rFonts w:ascii="Times New Roman" w:hAnsi="Times New Roman" w:cs="Times New Roman"/>
        </w:rPr>
        <w:t>se</w:t>
      </w:r>
      <w:r w:rsidRPr="00374C39">
        <w:rPr>
          <w:rFonts w:ascii="Times New Roman" w:hAnsi="Times New Roman" w:cs="Times New Roman"/>
        </w:rPr>
        <w:t xml:space="preserve">. </w:t>
      </w:r>
    </w:p>
    <w:p w:rsidR="00350A0C" w:rsidRDefault="0051477D" w:rsidP="0005701D">
      <w:pPr>
        <w:pStyle w:val="NoSpacing"/>
        <w:numPr>
          <w:ilvl w:val="0"/>
          <w:numId w:val="55"/>
        </w:numPr>
        <w:spacing w:line="276" w:lineRule="auto"/>
        <w:jc w:val="both"/>
      </w:pPr>
      <w:r w:rsidRPr="00500DFC">
        <w:rPr>
          <w:rFonts w:ascii="Times New Roman" w:hAnsi="Times New Roman" w:cs="Times New Roman"/>
        </w:rPr>
        <w:t>Ë</w:t>
      </w:r>
      <w:r w:rsidR="00277FA4" w:rsidRPr="00500DFC">
        <w:rPr>
          <w:rFonts w:ascii="Times New Roman" w:hAnsi="Times New Roman" w:cs="Times New Roman"/>
        </w:rPr>
        <w:t>sht</w:t>
      </w:r>
      <w:r w:rsidRPr="000507BB">
        <w:rPr>
          <w:rFonts w:ascii="Times New Roman" w:hAnsi="Times New Roman" w:cs="Times New Roman"/>
        </w:rPr>
        <w:t>ë</w:t>
      </w:r>
      <w:r w:rsidR="00277FA4" w:rsidRPr="000507BB">
        <w:rPr>
          <w:rFonts w:ascii="Times New Roman" w:hAnsi="Times New Roman" w:cs="Times New Roman"/>
        </w:rPr>
        <w:t xml:space="preserve"> e r</w:t>
      </w:r>
      <w:r w:rsidRPr="00AC52DF">
        <w:rPr>
          <w:rFonts w:ascii="Times New Roman" w:hAnsi="Times New Roman" w:cs="Times New Roman"/>
        </w:rPr>
        <w:t>ë</w:t>
      </w:r>
      <w:r w:rsidR="00277FA4" w:rsidRPr="00AC52DF">
        <w:rPr>
          <w:rFonts w:ascii="Times New Roman" w:hAnsi="Times New Roman" w:cs="Times New Roman"/>
        </w:rPr>
        <w:t>nd</w:t>
      </w:r>
      <w:r w:rsidRPr="00AC52DF">
        <w:rPr>
          <w:rFonts w:ascii="Times New Roman" w:hAnsi="Times New Roman" w:cs="Times New Roman"/>
        </w:rPr>
        <w:t>ë</w:t>
      </w:r>
      <w:r w:rsidR="00277FA4" w:rsidRPr="00D73C3D">
        <w:rPr>
          <w:rFonts w:ascii="Times New Roman" w:hAnsi="Times New Roman" w:cs="Times New Roman"/>
        </w:rPr>
        <w:t xml:space="preserve">sishme </w:t>
      </w:r>
      <w:r w:rsidR="0088544A" w:rsidRPr="0046228A">
        <w:rPr>
          <w:rFonts w:ascii="Times New Roman" w:hAnsi="Times New Roman" w:cs="Times New Roman"/>
        </w:rPr>
        <w:t>që politikat qe</w:t>
      </w:r>
      <w:r w:rsidR="0088544A" w:rsidRPr="00350A0C">
        <w:rPr>
          <w:rFonts w:ascii="Times New Roman" w:hAnsi="Times New Roman" w:cs="Times New Roman"/>
        </w:rPr>
        <w:t xml:space="preserve">veritare, përfshirë </w:t>
      </w:r>
      <w:r w:rsidR="00277FA4" w:rsidRPr="00350A0C">
        <w:rPr>
          <w:rFonts w:ascii="Times New Roman" w:hAnsi="Times New Roman" w:cs="Times New Roman"/>
        </w:rPr>
        <w:t xml:space="preserve">edhe </w:t>
      </w:r>
      <w:r w:rsidR="0088544A" w:rsidRPr="00350A0C">
        <w:rPr>
          <w:rFonts w:ascii="Times New Roman" w:hAnsi="Times New Roman" w:cs="Times New Roman"/>
        </w:rPr>
        <w:t>PKV</w:t>
      </w:r>
      <w:r w:rsidR="00277FA4" w:rsidRPr="00350A0C">
        <w:rPr>
          <w:rFonts w:ascii="Times New Roman" w:hAnsi="Times New Roman" w:cs="Times New Roman"/>
        </w:rPr>
        <w:t>-t</w:t>
      </w:r>
      <w:r w:rsidRPr="00350A0C">
        <w:rPr>
          <w:rFonts w:ascii="Times New Roman" w:hAnsi="Times New Roman" w:cs="Times New Roman"/>
        </w:rPr>
        <w:t>ë</w:t>
      </w:r>
      <w:r w:rsidR="0088544A" w:rsidRPr="00350A0C">
        <w:rPr>
          <w:rFonts w:ascii="Times New Roman" w:hAnsi="Times New Roman" w:cs="Times New Roman"/>
        </w:rPr>
        <w:t>, jo vetëm të miratohen, por edhe të zbatohen dhe të financohen siç kërkohet, duke përmirësuar mangësitë në legjislacion dhe duke ndërmarrë masa më të forta kundër diskriminimit dhe krimit të urrejtjes ndaj personave LGBTI</w:t>
      </w:r>
      <w:r w:rsidR="00277FA4" w:rsidRPr="00350A0C">
        <w:rPr>
          <w:rFonts w:ascii="Times New Roman" w:hAnsi="Times New Roman" w:cs="Times New Roman"/>
        </w:rPr>
        <w:t>+</w:t>
      </w:r>
      <w:r w:rsidR="0088544A" w:rsidRPr="00350A0C">
        <w:rPr>
          <w:rFonts w:ascii="Times New Roman" w:hAnsi="Times New Roman" w:cs="Times New Roman"/>
        </w:rPr>
        <w:t xml:space="preserve"> në të gjithë vendin. </w:t>
      </w:r>
    </w:p>
    <w:p w:rsidR="00350A0C" w:rsidRPr="00374C39" w:rsidRDefault="00827CB1" w:rsidP="0005701D">
      <w:pPr>
        <w:pStyle w:val="NoSpacing"/>
        <w:numPr>
          <w:ilvl w:val="0"/>
          <w:numId w:val="55"/>
        </w:numPr>
        <w:spacing w:line="276" w:lineRule="auto"/>
        <w:jc w:val="both"/>
        <w:rPr>
          <w:rFonts w:ascii="Times New Roman" w:hAnsi="Times New Roman" w:cs="Times New Roman"/>
        </w:rPr>
      </w:pPr>
      <w:r>
        <w:rPr>
          <w:rFonts w:ascii="Times New Roman" w:hAnsi="Times New Roman" w:cs="Times New Roman"/>
        </w:rPr>
        <w:t>Gjat</w:t>
      </w:r>
      <w:r w:rsidR="009C0A87" w:rsidRPr="009C0A87">
        <w:rPr>
          <w:rFonts w:ascii="Times New Roman" w:hAnsi="Times New Roman" w:cs="Times New Roman"/>
        </w:rPr>
        <w:t>ë</w:t>
      </w:r>
      <w:r>
        <w:rPr>
          <w:rFonts w:ascii="Times New Roman" w:hAnsi="Times New Roman" w:cs="Times New Roman"/>
        </w:rPr>
        <w:t xml:space="preserve"> </w:t>
      </w:r>
      <w:r w:rsidR="00D25191">
        <w:rPr>
          <w:rFonts w:ascii="Times New Roman" w:hAnsi="Times New Roman" w:cs="Times New Roman"/>
        </w:rPr>
        <w:t xml:space="preserve">periudhës </w:t>
      </w:r>
      <w:r>
        <w:rPr>
          <w:rFonts w:ascii="Times New Roman" w:hAnsi="Times New Roman" w:cs="Times New Roman"/>
        </w:rPr>
        <w:t>2016</w:t>
      </w:r>
      <w:r w:rsidR="00D25191">
        <w:rPr>
          <w:rFonts w:ascii="Times New Roman" w:hAnsi="Times New Roman" w:cs="Times New Roman"/>
        </w:rPr>
        <w:t xml:space="preserve"> </w:t>
      </w:r>
      <w:r>
        <w:rPr>
          <w:rFonts w:ascii="Times New Roman" w:hAnsi="Times New Roman" w:cs="Times New Roman"/>
        </w:rPr>
        <w:t>-</w:t>
      </w:r>
      <w:r w:rsidR="00D25191">
        <w:rPr>
          <w:rFonts w:ascii="Times New Roman" w:hAnsi="Times New Roman" w:cs="Times New Roman"/>
        </w:rPr>
        <w:t xml:space="preserve"> </w:t>
      </w:r>
      <w:r>
        <w:rPr>
          <w:rFonts w:ascii="Times New Roman" w:hAnsi="Times New Roman" w:cs="Times New Roman"/>
        </w:rPr>
        <w:t xml:space="preserve">2020 </w:t>
      </w:r>
      <w:r w:rsidR="009C0A87" w:rsidRPr="009C0A87">
        <w:rPr>
          <w:rFonts w:ascii="Times New Roman" w:hAnsi="Times New Roman" w:cs="Times New Roman"/>
        </w:rPr>
        <w:t>ë</w:t>
      </w:r>
      <w:r w:rsidR="009B0C70" w:rsidRPr="00374C39">
        <w:rPr>
          <w:rFonts w:ascii="Times New Roman" w:hAnsi="Times New Roman" w:cs="Times New Roman"/>
        </w:rPr>
        <w:t>shtë shpenzuar një buxhet shumë i vogël për zbatimin e PKV</w:t>
      </w:r>
      <w:r w:rsidR="009B0C70" w:rsidRPr="00374C39" w:rsidDel="005D5B2A">
        <w:rPr>
          <w:rFonts w:ascii="Times New Roman" w:hAnsi="Times New Roman" w:cs="Times New Roman"/>
        </w:rPr>
        <w:t xml:space="preserve"> </w:t>
      </w:r>
      <w:r w:rsidR="009B0C70" w:rsidRPr="00374C39">
        <w:rPr>
          <w:rFonts w:ascii="Times New Roman" w:hAnsi="Times New Roman" w:cs="Times New Roman"/>
        </w:rPr>
        <w:t>krahasuar me atë që do të duhej të shpenzohej</w:t>
      </w:r>
      <w:r w:rsidR="00D25191">
        <w:rPr>
          <w:rFonts w:ascii="Times New Roman" w:hAnsi="Times New Roman" w:cs="Times New Roman"/>
        </w:rPr>
        <w:t xml:space="preserve"> dhe është vënë re mungesë e burimeve financiare e njerëzore, veçanërisht në fundin e vitit 2019 dhe gjatë vitit 2020, si pasojë e situatës së emergjencës civile (tërmeti i nëntorit 2019) dhe gjendjes së fatkeqësisë natyrore (COVID-19)</w:t>
      </w:r>
      <w:r w:rsidR="009B0C70" w:rsidRPr="00374C39">
        <w:rPr>
          <w:rFonts w:ascii="Times New Roman" w:hAnsi="Times New Roman" w:cs="Times New Roman"/>
        </w:rPr>
        <w:t xml:space="preserve">. PKV e ardhshme </w:t>
      </w:r>
      <w:r w:rsidR="00D25191">
        <w:rPr>
          <w:rFonts w:ascii="Times New Roman" w:hAnsi="Times New Roman" w:cs="Times New Roman"/>
        </w:rPr>
        <w:t xml:space="preserve">rekomandohet </w:t>
      </w:r>
      <w:r w:rsidR="009B0C70" w:rsidRPr="00374C39">
        <w:rPr>
          <w:rFonts w:ascii="Times New Roman" w:hAnsi="Times New Roman" w:cs="Times New Roman"/>
        </w:rPr>
        <w:t xml:space="preserve">të formulohet qartë dhe </w:t>
      </w:r>
      <w:r w:rsidR="00D25191">
        <w:rPr>
          <w:rFonts w:ascii="Times New Roman" w:hAnsi="Times New Roman" w:cs="Times New Roman"/>
        </w:rPr>
        <w:t>institucionet kryesore përgjegjëse për zbatimin e PKV të venë në dispozicion</w:t>
      </w:r>
      <w:r w:rsidR="009B0C70" w:rsidRPr="00374C39">
        <w:rPr>
          <w:rFonts w:ascii="Times New Roman" w:hAnsi="Times New Roman" w:cs="Times New Roman"/>
        </w:rPr>
        <w:t xml:space="preserve"> burime të mjaftueshme njerëzore dhe financiare. </w:t>
      </w:r>
    </w:p>
    <w:p w:rsidR="00B56BCF" w:rsidRDefault="00D10A60" w:rsidP="00D10A60">
      <w:pPr>
        <w:pStyle w:val="NoSpacing"/>
        <w:numPr>
          <w:ilvl w:val="0"/>
          <w:numId w:val="55"/>
        </w:numPr>
        <w:spacing w:line="276" w:lineRule="auto"/>
        <w:jc w:val="both"/>
        <w:rPr>
          <w:rFonts w:ascii="Times New Roman" w:hAnsi="Times New Roman" w:cs="Times New Roman"/>
        </w:rPr>
      </w:pPr>
      <w:r w:rsidRPr="008B434D">
        <w:rPr>
          <w:rFonts w:ascii="Times New Roman" w:hAnsi="Times New Roman" w:cs="Times New Roman"/>
        </w:rPr>
        <w:t xml:space="preserve">Sa u përket ndryshimeve legjislative, janë bërë hapa pozitivë për ndihmën juridike dhe strehimin social. </w:t>
      </w:r>
      <w:r w:rsidR="00350A0C" w:rsidRPr="00500DFC">
        <w:rPr>
          <w:rFonts w:ascii="Times New Roman" w:hAnsi="Times New Roman" w:cs="Times New Roman"/>
        </w:rPr>
        <w:t>Ndryshimet e bëra në fund të 2020 në Ligjin për Mbrojtjen nga Diskriminimi</w:t>
      </w:r>
      <w:r w:rsidR="00350A0C" w:rsidRPr="0005701D">
        <w:rPr>
          <w:rStyle w:val="FootnoteReference"/>
          <w:rFonts w:ascii="Times New Roman" w:hAnsi="Times New Roman" w:cs="Times New Roman"/>
        </w:rPr>
        <w:footnoteReference w:id="15"/>
      </w:r>
      <w:r w:rsidR="00350A0C" w:rsidRPr="00500DFC">
        <w:rPr>
          <w:rFonts w:ascii="Times New Roman" w:hAnsi="Times New Roman" w:cs="Times New Roman"/>
        </w:rPr>
        <w:t>, parashikuan</w:t>
      </w:r>
      <w:r w:rsidR="00350A0C" w:rsidRPr="008B434D">
        <w:rPr>
          <w:rFonts w:ascii="Times New Roman" w:hAnsi="Times New Roman" w:cs="Times New Roman"/>
        </w:rPr>
        <w:t xml:space="preserve"> përkufizimin lidhur me gjuhën e urrejtjes dhe forma të tjera diskriminimi në përputhje me standardet e Këshillit të Europës</w:t>
      </w:r>
      <w:r w:rsidR="00350A0C">
        <w:rPr>
          <w:rFonts w:ascii="Times New Roman" w:hAnsi="Times New Roman" w:cs="Times New Roman"/>
        </w:rPr>
        <w:t xml:space="preserve">. </w:t>
      </w:r>
      <w:r w:rsidRPr="008B434D">
        <w:rPr>
          <w:rFonts w:ascii="Times New Roman" w:hAnsi="Times New Roman" w:cs="Times New Roman"/>
        </w:rPr>
        <w:t>Nevojiten ndryshime në legjislacionin që trajton në mënyrë specifike çështjet e ndjeshme ndaj personave LGBTI</w:t>
      </w:r>
      <w:r w:rsidR="00D17FEA">
        <w:rPr>
          <w:rFonts w:ascii="Times New Roman" w:hAnsi="Times New Roman" w:cs="Times New Roman"/>
        </w:rPr>
        <w:t>+</w:t>
      </w:r>
      <w:r w:rsidRPr="008B434D">
        <w:rPr>
          <w:rFonts w:ascii="Times New Roman" w:hAnsi="Times New Roman" w:cs="Times New Roman"/>
        </w:rPr>
        <w:t>, siç janë Kodi i Familjes, Kodi Penal dhe Ligji i Bir</w:t>
      </w:r>
      <w:r w:rsidRPr="008B434D">
        <w:rPr>
          <w:rFonts w:ascii="Times New Roman" w:eastAsia="Times New Roman" w:hAnsi="Times New Roman" w:cs="Times New Roman"/>
        </w:rPr>
        <w:t>ë</w:t>
      </w:r>
      <w:r w:rsidRPr="008B434D">
        <w:rPr>
          <w:rFonts w:ascii="Times New Roman" w:hAnsi="Times New Roman" w:cs="Times New Roman"/>
        </w:rPr>
        <w:t xml:space="preserve">simit që janë në pritje, dhe si dhe Ligji për Njohjen e Idenditetit Gjinor. Këtyre nismave legjislative duhet t'u jepet prioritet në periudhën e ardhshme, me qëllim që legjislacioni shqiptar të përputhet me standardet ndërkombëtare dhe ato të BE-së. </w:t>
      </w:r>
    </w:p>
    <w:p w:rsidR="00D10A60" w:rsidRPr="00B56BCF" w:rsidRDefault="00350A0C" w:rsidP="00D10A60">
      <w:pPr>
        <w:pStyle w:val="NoSpacing"/>
        <w:numPr>
          <w:ilvl w:val="0"/>
          <w:numId w:val="55"/>
        </w:numPr>
        <w:spacing w:line="276" w:lineRule="auto"/>
        <w:jc w:val="both"/>
        <w:rPr>
          <w:rFonts w:ascii="Times New Roman" w:hAnsi="Times New Roman" w:cs="Times New Roman"/>
        </w:rPr>
      </w:pPr>
      <w:r w:rsidRPr="00B56BCF">
        <w:rPr>
          <w:rFonts w:ascii="Times New Roman" w:hAnsi="Times New Roman" w:cs="Times New Roman"/>
        </w:rPr>
        <w:t xml:space="preserve">Në lidhje me fuqizimin e kapaciteteve të nëpunësve civilë dhe të punonjëseve e punonjësve të sistemit shëndetësor, arsimor, të fushës së punësimit, mbrojtjes, drejtësisë,  etj., pavarësisht trajnimeve të zhvilluara nga MSHMS, në bashkëpunim me institucione të tjera shtetërore e OJF, nevojitet sërish vëmendje dhe planifikim i veprimeve në kjëtë drejtim, duke synuar përgatitjen dhe përfshirjen e moduleve të trajnimit mbi çështjet LGBTI+ në kurrikulat e ASPA, në universitete, në Shkollën e Magjistraturës, në Akademinë e Sigurisë, etj. Ndërtimi dhe fuqizimi i kapaciteteve duhet të shtrihet gjerësisht edhe në NJVV dhe institucionet partnere vendore. </w:t>
      </w:r>
      <w:r w:rsidR="00D10A60" w:rsidRPr="00B56BCF">
        <w:rPr>
          <w:rFonts w:ascii="Times New Roman" w:hAnsi="Times New Roman" w:cs="Times New Roman"/>
        </w:rPr>
        <w:t xml:space="preserve">Duhet të </w:t>
      </w:r>
      <w:r w:rsidR="00D10A60" w:rsidRPr="00B56BCF">
        <w:rPr>
          <w:rFonts w:ascii="Times New Roman" w:hAnsi="Times New Roman" w:cs="Times New Roman"/>
        </w:rPr>
        <w:lastRenderedPageBreak/>
        <w:t>krijohet shkëmbimi i rregullt midis policisë, gjyqësorit, KMD, AP dhe OJF për të rritur besimin dhe gatishmërinë për të raportuar diskriminimin dhe krimin e urrejtjes ndaj personave LGBTI</w:t>
      </w:r>
      <w:r w:rsidRPr="00B56BCF">
        <w:rPr>
          <w:rFonts w:ascii="Times New Roman" w:hAnsi="Times New Roman" w:cs="Times New Roman"/>
        </w:rPr>
        <w:t>+</w:t>
      </w:r>
      <w:r w:rsidR="00D10A60" w:rsidRPr="00B56BCF">
        <w:rPr>
          <w:rFonts w:ascii="Times New Roman" w:hAnsi="Times New Roman" w:cs="Times New Roman"/>
        </w:rPr>
        <w:t xml:space="preserve">.  </w:t>
      </w:r>
    </w:p>
    <w:p w:rsidR="00B56BCF" w:rsidRDefault="00500DFC" w:rsidP="00D10A60">
      <w:pPr>
        <w:pStyle w:val="NoSpacing"/>
        <w:numPr>
          <w:ilvl w:val="0"/>
          <w:numId w:val="56"/>
        </w:numPr>
        <w:spacing w:line="276" w:lineRule="auto"/>
        <w:jc w:val="both"/>
        <w:rPr>
          <w:rFonts w:eastAsia="Times New Roman"/>
        </w:rPr>
      </w:pPr>
      <w:r>
        <w:rPr>
          <w:rFonts w:ascii="Times New Roman" w:hAnsi="Times New Roman" w:cs="Times New Roman"/>
        </w:rPr>
        <w:t xml:space="preserve">Nevojitet të tregohet një vëmendje më e madhe dhe të planifikohen masa e veprime specifike në PKV e re për LGBTI+ 2021 – 2027, të cilat të fokusohen në fushën e punësimit, arsimit, shëndetësisë, zbatimit në praktikë të kuadrit ligjor të përmirësuar me fokus çështjet LGBTI+, etj.  P.sh. në zbatim të ndryshimeve </w:t>
      </w:r>
      <w:r w:rsidR="00D10A60" w:rsidRPr="008B434D">
        <w:rPr>
          <w:rFonts w:ascii="Times New Roman" w:hAnsi="Times New Roman" w:cs="Times New Roman"/>
        </w:rPr>
        <w:t xml:space="preserve">të Ligjit nr.79/2017 “Për sportin” </w:t>
      </w:r>
      <w:r>
        <w:rPr>
          <w:rFonts w:ascii="Times New Roman" w:hAnsi="Times New Roman" w:cs="Times New Roman"/>
        </w:rPr>
        <w:t>duhet të merren masa</w:t>
      </w:r>
      <w:r w:rsidR="00D10A60" w:rsidRPr="008B434D">
        <w:rPr>
          <w:rFonts w:ascii="Times New Roman" w:hAnsi="Times New Roman" w:cs="Times New Roman"/>
        </w:rPr>
        <w:t xml:space="preserve"> për përmirësimin e aksesit të personave LGBTI</w:t>
      </w:r>
      <w:r>
        <w:rPr>
          <w:rFonts w:ascii="Times New Roman" w:hAnsi="Times New Roman" w:cs="Times New Roman"/>
        </w:rPr>
        <w:t>+</w:t>
      </w:r>
      <w:r w:rsidR="00D10A60" w:rsidRPr="008B434D">
        <w:rPr>
          <w:rFonts w:ascii="Times New Roman" w:hAnsi="Times New Roman" w:cs="Times New Roman"/>
        </w:rPr>
        <w:t xml:space="preserve"> në qendrat sportive, klubet, federatat sportive, etj. </w:t>
      </w:r>
      <w:r>
        <w:rPr>
          <w:rFonts w:ascii="Times New Roman" w:hAnsi="Times New Roman" w:cs="Times New Roman"/>
        </w:rPr>
        <w:t xml:space="preserve">Ose, duhet të planifikohet dhënia e informacionit të duhur në lidhje me </w:t>
      </w:r>
      <w:r w:rsidR="00D10A60" w:rsidRPr="0005701D">
        <w:rPr>
          <w:rFonts w:ascii="Times New Roman" w:hAnsi="Times New Roman" w:cs="Times New Roman"/>
        </w:rPr>
        <w:t>protokolli</w:t>
      </w:r>
      <w:r w:rsidRPr="0005701D">
        <w:rPr>
          <w:rFonts w:ascii="Times New Roman" w:hAnsi="Times New Roman" w:cs="Times New Roman"/>
        </w:rPr>
        <w:t>n</w:t>
      </w:r>
      <w:r w:rsidR="00D10A60" w:rsidRPr="0005701D">
        <w:rPr>
          <w:rFonts w:ascii="Times New Roman" w:hAnsi="Times New Roman" w:cs="Times New Roman"/>
        </w:rPr>
        <w:t xml:space="preserve"> për fëmijët interseks</w:t>
      </w:r>
      <w:r w:rsidRPr="0005701D">
        <w:rPr>
          <w:rFonts w:ascii="Times New Roman" w:hAnsi="Times New Roman" w:cs="Times New Roman"/>
        </w:rPr>
        <w:t xml:space="preserve"> miratuar nga MSHMS në korrik 2020. Gjithashtu, bazuar në mësimet e nxjerra nga vështirësitë që ndeshën personat LGBTI+ gjatë periudhës së karantinës për shkak të Covid-19, duhet të planifikohen veprime për të përmirësuar aksesin dhe disponueshmërinë e shërnbimeve të kujdesit shëndetësor për personat LGBTI+</w:t>
      </w:r>
      <w:r w:rsidR="00D10A60" w:rsidRPr="0005701D">
        <w:rPr>
          <w:rFonts w:ascii="Times New Roman" w:hAnsi="Times New Roman" w:cs="Times New Roman"/>
        </w:rPr>
        <w:t xml:space="preserve">. </w:t>
      </w:r>
      <w:r w:rsidR="00D10A60" w:rsidRPr="0005701D">
        <w:rPr>
          <w:rFonts w:ascii="Times New Roman" w:eastAsia="Times New Roman" w:hAnsi="Times New Roman" w:cs="Times New Roman"/>
        </w:rPr>
        <w:t>Personat që punojnë në repartin e lindjes ose në gjinekologji duhet të udhëzohen në mënyrë specifike për ofrimin e shërbimeve të kujdesit shëndetësor p</w:t>
      </w:r>
      <w:r w:rsidR="00D10A60" w:rsidRPr="0005701D">
        <w:rPr>
          <w:rFonts w:ascii="Times New Roman" w:hAnsi="Times New Roman" w:cs="Times New Roman"/>
        </w:rPr>
        <w:t>ë</w:t>
      </w:r>
      <w:r w:rsidR="00D10A60" w:rsidRPr="0005701D">
        <w:rPr>
          <w:rFonts w:ascii="Times New Roman" w:eastAsia="Times New Roman" w:hAnsi="Times New Roman" w:cs="Times New Roman"/>
        </w:rPr>
        <w:t>r personat transgjinorë</w:t>
      </w:r>
      <w:r w:rsidR="00AC52DF">
        <w:rPr>
          <w:rFonts w:ascii="Times New Roman" w:eastAsia="Times New Roman" w:hAnsi="Times New Roman" w:cs="Times New Roman"/>
        </w:rPr>
        <w:t>. Po k</w:t>
      </w:r>
      <w:r w:rsidR="00EC05C9">
        <w:rPr>
          <w:rFonts w:ascii="Times New Roman" w:eastAsia="Times New Roman" w:hAnsi="Times New Roman" w:cs="Times New Roman"/>
        </w:rPr>
        <w:t>ë</w:t>
      </w:r>
      <w:r w:rsidR="00AC52DF">
        <w:rPr>
          <w:rFonts w:ascii="Times New Roman" w:eastAsia="Times New Roman" w:hAnsi="Times New Roman" w:cs="Times New Roman"/>
        </w:rPr>
        <w:t xml:space="preserve">shtu </w:t>
      </w:r>
      <w:r w:rsidR="00D10A60" w:rsidRPr="0005701D">
        <w:rPr>
          <w:rFonts w:ascii="Times New Roman" w:eastAsia="Times New Roman" w:hAnsi="Times New Roman" w:cs="Times New Roman"/>
        </w:rPr>
        <w:t>duhet të përmirësohet aksesi persona</w:t>
      </w:r>
      <w:r w:rsidR="00AC52DF">
        <w:rPr>
          <w:rFonts w:ascii="Times New Roman" w:eastAsia="Times New Roman" w:hAnsi="Times New Roman" w:cs="Times New Roman"/>
        </w:rPr>
        <w:t>ve</w:t>
      </w:r>
      <w:r w:rsidR="00D10A60" w:rsidRPr="0005701D">
        <w:rPr>
          <w:rFonts w:ascii="Times New Roman" w:eastAsia="Times New Roman" w:hAnsi="Times New Roman" w:cs="Times New Roman"/>
        </w:rPr>
        <w:t xml:space="preserve"> LGBTI</w:t>
      </w:r>
      <w:r w:rsidR="000507BB" w:rsidRPr="0005701D">
        <w:rPr>
          <w:rFonts w:ascii="Times New Roman" w:eastAsia="Times New Roman" w:hAnsi="Times New Roman" w:cs="Times New Roman"/>
        </w:rPr>
        <w:t>+</w:t>
      </w:r>
      <w:r w:rsidR="00D10A60" w:rsidRPr="0005701D">
        <w:rPr>
          <w:rFonts w:ascii="Times New Roman" w:eastAsia="Times New Roman" w:hAnsi="Times New Roman" w:cs="Times New Roman"/>
        </w:rPr>
        <w:t xml:space="preserve">, në testime plotësisht anonime për SST, </w:t>
      </w:r>
      <w:r w:rsidR="00AC52DF">
        <w:rPr>
          <w:rFonts w:ascii="Times New Roman" w:eastAsia="Times New Roman" w:hAnsi="Times New Roman" w:cs="Times New Roman"/>
        </w:rPr>
        <w:t>etj</w:t>
      </w:r>
      <w:r w:rsidR="00D10A60" w:rsidRPr="0005701D">
        <w:rPr>
          <w:rFonts w:ascii="Times New Roman" w:eastAsia="Times New Roman" w:hAnsi="Times New Roman" w:cs="Times New Roman"/>
        </w:rPr>
        <w:t>.</w:t>
      </w:r>
    </w:p>
    <w:p w:rsidR="00B56BCF" w:rsidRPr="00B56BCF" w:rsidRDefault="00D10A60" w:rsidP="00B56BCF">
      <w:pPr>
        <w:pStyle w:val="NoSpacing"/>
        <w:numPr>
          <w:ilvl w:val="0"/>
          <w:numId w:val="56"/>
        </w:numPr>
        <w:spacing w:line="276" w:lineRule="auto"/>
        <w:jc w:val="both"/>
        <w:rPr>
          <w:rFonts w:eastAsia="Times New Roman"/>
        </w:rPr>
      </w:pPr>
      <w:r w:rsidRPr="00B56BCF">
        <w:rPr>
          <w:rFonts w:ascii="Times New Roman" w:hAnsi="Times New Roman" w:cs="Times New Roman"/>
        </w:rPr>
        <w:t>Sa i përket strehimit, vlerësohet përfshirja e personave LGBTI</w:t>
      </w:r>
      <w:r w:rsidR="00AC52DF" w:rsidRPr="00B56BCF">
        <w:rPr>
          <w:rFonts w:ascii="Times New Roman" w:hAnsi="Times New Roman" w:cs="Times New Roman"/>
        </w:rPr>
        <w:t>+</w:t>
      </w:r>
      <w:r w:rsidRPr="00B56BCF">
        <w:rPr>
          <w:rFonts w:ascii="Times New Roman" w:hAnsi="Times New Roman" w:cs="Times New Roman"/>
        </w:rPr>
        <w:t xml:space="preserve"> si grup përfituesish në Ligjin Nr.22/2018 “Për Strehimin Social”</w:t>
      </w:r>
      <w:r w:rsidR="00AC52DF" w:rsidRPr="00B56BCF">
        <w:rPr>
          <w:rFonts w:ascii="Times New Roman" w:hAnsi="Times New Roman" w:cs="Times New Roman"/>
        </w:rPr>
        <w:t xml:space="preserve"> dhe zbatimi i këtyre ndryshimeve për disa </w:t>
      </w:r>
      <w:r w:rsidRPr="00B56BCF">
        <w:rPr>
          <w:rFonts w:ascii="Times New Roman" w:hAnsi="Times New Roman" w:cs="Times New Roman"/>
        </w:rPr>
        <w:t>persona LGBTI</w:t>
      </w:r>
      <w:r w:rsidR="00AC52DF" w:rsidRPr="00B56BCF">
        <w:rPr>
          <w:rFonts w:ascii="Times New Roman" w:hAnsi="Times New Roman" w:cs="Times New Roman"/>
        </w:rPr>
        <w:t>+</w:t>
      </w:r>
      <w:r w:rsidRPr="00B56BCF">
        <w:rPr>
          <w:rFonts w:ascii="Times New Roman" w:hAnsi="Times New Roman" w:cs="Times New Roman"/>
        </w:rPr>
        <w:t xml:space="preserve">, kryesisht në Tiranë. Është e rëndësishme </w:t>
      </w:r>
      <w:r w:rsidR="00AC52DF" w:rsidRPr="00B56BCF">
        <w:rPr>
          <w:rFonts w:ascii="Times New Roman" w:hAnsi="Times New Roman" w:cs="Times New Roman"/>
        </w:rPr>
        <w:t>të vijohet me zbatimin e këtyre ndryshimeve ligjore në rang vendi. Po kështu, shërbimet mbështetëse të specializuara të tilla si</w:t>
      </w:r>
      <w:r w:rsidRPr="00B56BCF">
        <w:rPr>
          <w:rFonts w:ascii="Times New Roman" w:hAnsi="Times New Roman" w:cs="Times New Roman"/>
        </w:rPr>
        <w:t xml:space="preserve"> Qendra STREHA</w:t>
      </w:r>
      <w:r w:rsidR="00AC52DF" w:rsidRPr="00B56BCF">
        <w:rPr>
          <w:rFonts w:ascii="Times New Roman" w:hAnsi="Times New Roman" w:cs="Times New Roman"/>
        </w:rPr>
        <w:t xml:space="preserve">, duhet të kenë një mbështetje të qendryueshme financiare, kryesisht nga buxheti i shtetit. </w:t>
      </w:r>
      <w:r w:rsidRPr="00B56BCF">
        <w:rPr>
          <w:rFonts w:ascii="Times New Roman" w:hAnsi="Times New Roman" w:cs="Times New Roman"/>
        </w:rPr>
        <w:t xml:space="preserve"> </w:t>
      </w:r>
    </w:p>
    <w:p w:rsidR="00D10A60" w:rsidRPr="00B56BCF" w:rsidRDefault="00D10A60" w:rsidP="00B56BCF">
      <w:pPr>
        <w:pStyle w:val="NoSpacing"/>
        <w:numPr>
          <w:ilvl w:val="0"/>
          <w:numId w:val="56"/>
        </w:numPr>
        <w:spacing w:line="276" w:lineRule="auto"/>
        <w:jc w:val="both"/>
        <w:rPr>
          <w:rFonts w:ascii="Times New Roman" w:eastAsia="Times New Roman" w:hAnsi="Times New Roman" w:cs="Times New Roman"/>
        </w:rPr>
      </w:pPr>
      <w:r w:rsidRPr="00B56BCF">
        <w:rPr>
          <w:rFonts w:ascii="Times New Roman" w:eastAsia="Times New Roman" w:hAnsi="Times New Roman" w:cs="Times New Roman"/>
        </w:rPr>
        <w:t xml:space="preserve">Rritja e </w:t>
      </w:r>
      <w:r w:rsidR="00AC52DF" w:rsidRPr="00B56BCF">
        <w:rPr>
          <w:rFonts w:ascii="Times New Roman" w:eastAsia="Times New Roman" w:hAnsi="Times New Roman" w:cs="Times New Roman"/>
        </w:rPr>
        <w:t xml:space="preserve">informimit dhe ndërgjegjësimit të opinionit publik për pranimin dhe gjithëpërfshirjen e personave LGBTI+, si dhe respektimin e të drejtave të tyre njerëzore, është gjithashtu domosdoshmëri dhe duhet të mundësohet përmes planifikimit të aktiviteteve konkrete në këtë drejtim. </w:t>
      </w:r>
    </w:p>
    <w:p w:rsidR="00891609" w:rsidRPr="001B1D14" w:rsidRDefault="00891609" w:rsidP="00BF02E2">
      <w:pPr>
        <w:pStyle w:val="ListParagraph"/>
        <w:spacing w:line="276" w:lineRule="auto"/>
        <w:jc w:val="both"/>
        <w:rPr>
          <w:szCs w:val="22"/>
        </w:rPr>
      </w:pPr>
    </w:p>
    <w:p w:rsidR="00B36010" w:rsidRPr="008551B5" w:rsidRDefault="00550EDA" w:rsidP="008551B5">
      <w:pPr>
        <w:pStyle w:val="Heading2"/>
        <w:shd w:val="clear" w:color="auto" w:fill="99FFCC"/>
        <w:spacing w:before="0" w:line="276" w:lineRule="auto"/>
        <w:rPr>
          <w:rFonts w:ascii="Times New Roman" w:eastAsiaTheme="minorHAnsi" w:hAnsi="Times New Roman"/>
          <w:color w:val="FF00FF"/>
          <w:sz w:val="24"/>
          <w:szCs w:val="24"/>
          <w:lang w:eastAsia="en-US"/>
        </w:rPr>
      </w:pPr>
      <w:bookmarkStart w:id="17" w:name="_Toc79509622"/>
      <w:bookmarkEnd w:id="10"/>
      <w:bookmarkEnd w:id="11"/>
      <w:r w:rsidRPr="008551B5">
        <w:rPr>
          <w:rFonts w:ascii="Times New Roman" w:eastAsiaTheme="minorHAnsi" w:hAnsi="Times New Roman"/>
          <w:color w:val="FF00FF"/>
          <w:sz w:val="24"/>
          <w:szCs w:val="24"/>
          <w:lang w:eastAsia="en-US"/>
        </w:rPr>
        <w:t xml:space="preserve">4. </w:t>
      </w:r>
      <w:r w:rsidR="00B36010" w:rsidRPr="008551B5">
        <w:rPr>
          <w:rFonts w:ascii="Times New Roman" w:eastAsiaTheme="minorHAnsi" w:hAnsi="Times New Roman"/>
          <w:color w:val="FF00FF"/>
          <w:sz w:val="24"/>
          <w:szCs w:val="24"/>
          <w:lang w:eastAsia="en-US"/>
        </w:rPr>
        <w:t xml:space="preserve">Vizioni </w:t>
      </w:r>
      <w:r w:rsidR="00295052" w:rsidRPr="008551B5">
        <w:rPr>
          <w:rFonts w:ascii="Times New Roman" w:eastAsiaTheme="minorHAnsi" w:hAnsi="Times New Roman"/>
          <w:color w:val="FF00FF"/>
          <w:sz w:val="24"/>
          <w:szCs w:val="24"/>
          <w:lang w:eastAsia="en-US"/>
        </w:rPr>
        <w:t>dhe misioni i d</w:t>
      </w:r>
      <w:r w:rsidR="00C735E1" w:rsidRPr="008551B5">
        <w:rPr>
          <w:rFonts w:ascii="Times New Roman" w:eastAsiaTheme="minorHAnsi" w:hAnsi="Times New Roman"/>
          <w:color w:val="FF00FF"/>
          <w:sz w:val="24"/>
          <w:szCs w:val="24"/>
          <w:lang w:eastAsia="en-US"/>
        </w:rPr>
        <w:t>okumentit</w:t>
      </w:r>
      <w:bookmarkEnd w:id="17"/>
    </w:p>
    <w:p w:rsidR="00B36010" w:rsidRPr="001B1D14" w:rsidRDefault="00B36010" w:rsidP="00BF02E2">
      <w:pPr>
        <w:spacing w:line="276" w:lineRule="auto"/>
        <w:jc w:val="both"/>
        <w:rPr>
          <w:rFonts w:ascii="Calibri-Light" w:eastAsiaTheme="minorHAnsi" w:hAnsi="Calibri-Light" w:cs="Calibri-Light"/>
          <w:color w:val="1F4D79"/>
          <w:lang w:eastAsia="en-US"/>
        </w:rPr>
      </w:pPr>
    </w:p>
    <w:p w:rsidR="00130050" w:rsidRPr="008551B5" w:rsidRDefault="00B36010" w:rsidP="00BF02E2">
      <w:pPr>
        <w:spacing w:line="276" w:lineRule="auto"/>
        <w:jc w:val="both"/>
        <w:rPr>
          <w:b/>
          <w:color w:val="FF00FF"/>
        </w:rPr>
      </w:pPr>
      <w:r w:rsidRPr="008551B5">
        <w:rPr>
          <w:rFonts w:eastAsiaTheme="minorHAnsi"/>
          <w:b/>
          <w:color w:val="FF00FF"/>
          <w:lang w:eastAsia="en-US"/>
        </w:rPr>
        <w:t>Vizioni</w:t>
      </w:r>
    </w:p>
    <w:p w:rsidR="006F04D1" w:rsidRPr="001B1D14" w:rsidRDefault="00856308" w:rsidP="00BF02E2">
      <w:pPr>
        <w:spacing w:line="276" w:lineRule="auto"/>
        <w:jc w:val="both"/>
        <w:rPr>
          <w:b/>
          <w:bCs/>
          <w:iCs/>
        </w:rPr>
      </w:pPr>
      <w:r w:rsidRPr="00614BDE">
        <w:rPr>
          <w:iCs/>
        </w:rPr>
        <w:t>“Një shoqëri gjithëpërfshirëse që</w:t>
      </w:r>
      <w:r w:rsidR="00790338" w:rsidRPr="00614BDE">
        <w:rPr>
          <w:iCs/>
        </w:rPr>
        <w:t xml:space="preserve"> u mund</w:t>
      </w:r>
      <w:r w:rsidR="00790338" w:rsidRPr="00D972F5">
        <w:rPr>
          <w:iCs/>
        </w:rPr>
        <w:t>ë</w:t>
      </w:r>
      <w:r w:rsidR="00790338" w:rsidRPr="00D83435">
        <w:rPr>
          <w:iCs/>
        </w:rPr>
        <w:t xml:space="preserve">son </w:t>
      </w:r>
      <w:r w:rsidR="00473B17">
        <w:rPr>
          <w:iCs/>
        </w:rPr>
        <w:t>personave LGBTI</w:t>
      </w:r>
      <w:r w:rsidR="008E3AD1">
        <w:rPr>
          <w:iCs/>
        </w:rPr>
        <w:t>+</w:t>
      </w:r>
      <w:r w:rsidR="00790338" w:rsidRPr="00614BDE">
        <w:rPr>
          <w:iCs/>
        </w:rPr>
        <w:t xml:space="preserve"> lirinë e të q</w:t>
      </w:r>
      <w:r w:rsidR="008E3AD1">
        <w:rPr>
          <w:iCs/>
        </w:rPr>
        <w:t>e</w:t>
      </w:r>
      <w:r w:rsidR="00790338" w:rsidRPr="00614BDE">
        <w:rPr>
          <w:iCs/>
        </w:rPr>
        <w:t>nit vetvetja</w:t>
      </w:r>
      <w:r w:rsidR="00096974" w:rsidRPr="00614BDE">
        <w:rPr>
          <w:iCs/>
        </w:rPr>
        <w:t>, mosdiskriminim, trajtim, mundësi dhe</w:t>
      </w:r>
      <w:r w:rsidRPr="00614BDE">
        <w:rPr>
          <w:iCs/>
        </w:rPr>
        <w:t xml:space="preserve"> qasje të barabartë në shërbime publike cilësore </w:t>
      </w:r>
      <w:r w:rsidR="005C0044">
        <w:rPr>
          <w:iCs/>
        </w:rPr>
        <w:t xml:space="preserve">e </w:t>
      </w:r>
      <w:r w:rsidR="00096974" w:rsidRPr="00614BDE">
        <w:rPr>
          <w:iCs/>
        </w:rPr>
        <w:t>të përshtatura sipas nevojave</w:t>
      </w:r>
      <w:r w:rsidR="00DF48B6">
        <w:rPr>
          <w:iCs/>
        </w:rPr>
        <w:t>,</w:t>
      </w:r>
      <w:r w:rsidR="00096974" w:rsidRPr="00614BDE">
        <w:rPr>
          <w:iCs/>
        </w:rPr>
        <w:t xml:space="preserve"> si dhe pjesmarrje </w:t>
      </w:r>
      <w:r w:rsidR="001136F8" w:rsidRPr="00614BDE">
        <w:rPr>
          <w:iCs/>
        </w:rPr>
        <w:t xml:space="preserve">aktive në </w:t>
      </w:r>
      <w:r w:rsidR="00096974" w:rsidRPr="00614BDE">
        <w:rPr>
          <w:iCs/>
        </w:rPr>
        <w:t xml:space="preserve">të gjitha </w:t>
      </w:r>
      <w:r w:rsidR="005C0044">
        <w:rPr>
          <w:iCs/>
        </w:rPr>
        <w:t>fushat</w:t>
      </w:r>
      <w:r w:rsidR="005C0044" w:rsidRPr="00614BDE">
        <w:rPr>
          <w:iCs/>
        </w:rPr>
        <w:t xml:space="preserve"> </w:t>
      </w:r>
      <w:r w:rsidR="00096974" w:rsidRPr="00614BDE">
        <w:rPr>
          <w:iCs/>
        </w:rPr>
        <w:t xml:space="preserve">e jetës </w:t>
      </w:r>
      <w:r w:rsidR="001136F8" w:rsidRPr="00614BDE">
        <w:rPr>
          <w:iCs/>
        </w:rPr>
        <w:t xml:space="preserve"> pavarësisht nga </w:t>
      </w:r>
      <w:r w:rsidR="00096974" w:rsidRPr="00614BDE">
        <w:rPr>
          <w:iCs/>
        </w:rPr>
        <w:t>shprehja e iden</w:t>
      </w:r>
      <w:r w:rsidR="00DF48B6">
        <w:rPr>
          <w:iCs/>
        </w:rPr>
        <w:t>t</w:t>
      </w:r>
      <w:r w:rsidR="00096974" w:rsidRPr="00614BDE">
        <w:rPr>
          <w:iCs/>
        </w:rPr>
        <w:t>itetit gjinor</w:t>
      </w:r>
      <w:r w:rsidR="008E3AD1">
        <w:rPr>
          <w:iCs/>
        </w:rPr>
        <w:t xml:space="preserve">, </w:t>
      </w:r>
      <w:r w:rsidR="001136F8" w:rsidRPr="00614BDE">
        <w:rPr>
          <w:iCs/>
        </w:rPr>
        <w:t xml:space="preserve">orientimi seksual, </w:t>
      </w:r>
      <w:r w:rsidR="008E3AD1">
        <w:rPr>
          <w:iCs/>
        </w:rPr>
        <w:t xml:space="preserve">karakteristikat e seksit </w:t>
      </w:r>
      <w:r w:rsidR="00096974" w:rsidRPr="00614BDE">
        <w:rPr>
          <w:iCs/>
        </w:rPr>
        <w:t>apo nga tërësia e karakteristikave të tjera individuale</w:t>
      </w:r>
      <w:r w:rsidR="005C0044">
        <w:rPr>
          <w:iCs/>
        </w:rPr>
        <w:t xml:space="preserve"> të tyre</w:t>
      </w:r>
      <w:r w:rsidR="001136F8" w:rsidRPr="00614BDE">
        <w:rPr>
          <w:iCs/>
        </w:rPr>
        <w:t>”</w:t>
      </w:r>
      <w:r w:rsidR="00473B17">
        <w:rPr>
          <w:iCs/>
        </w:rPr>
        <w:t>.</w:t>
      </w:r>
      <w:r w:rsidR="001136F8" w:rsidRPr="00614BDE">
        <w:rPr>
          <w:iCs/>
        </w:rPr>
        <w:t xml:space="preserve"> </w:t>
      </w:r>
    </w:p>
    <w:p w:rsidR="001B1D14" w:rsidRDefault="001B1D14" w:rsidP="00BF02E2">
      <w:pPr>
        <w:pStyle w:val="Heading3"/>
        <w:keepLines/>
        <w:spacing w:before="0" w:after="0" w:line="276" w:lineRule="auto"/>
        <w:rPr>
          <w:rFonts w:ascii="Times New Roman" w:hAnsi="Times New Roman"/>
          <w:color w:val="E36C0A" w:themeColor="accent6" w:themeShade="BF"/>
        </w:rPr>
      </w:pPr>
      <w:bookmarkStart w:id="18" w:name="_Toc68592158"/>
      <w:bookmarkStart w:id="19" w:name="_Toc68592414"/>
      <w:bookmarkStart w:id="20" w:name="_Toc68774287"/>
    </w:p>
    <w:p w:rsidR="00740BF0" w:rsidRPr="008551B5" w:rsidRDefault="00740BF0" w:rsidP="00BF02E2">
      <w:pPr>
        <w:pStyle w:val="Heading3"/>
        <w:keepLines/>
        <w:spacing w:before="0" w:after="0" w:line="276" w:lineRule="auto"/>
        <w:rPr>
          <w:rFonts w:ascii="Times New Roman" w:hAnsi="Times New Roman"/>
          <w:color w:val="FF00FF"/>
        </w:rPr>
      </w:pPr>
      <w:bookmarkStart w:id="21" w:name="_Toc79509623"/>
      <w:r w:rsidRPr="008551B5">
        <w:rPr>
          <w:rFonts w:ascii="Times New Roman" w:hAnsi="Times New Roman"/>
          <w:color w:val="FF00FF"/>
        </w:rPr>
        <w:t>Misioni</w:t>
      </w:r>
      <w:bookmarkEnd w:id="18"/>
      <w:bookmarkEnd w:id="19"/>
      <w:bookmarkEnd w:id="20"/>
      <w:bookmarkEnd w:id="21"/>
    </w:p>
    <w:p w:rsidR="006F04D1" w:rsidRDefault="008E3AD1" w:rsidP="00BF02E2">
      <w:pPr>
        <w:spacing w:line="276" w:lineRule="auto"/>
        <w:jc w:val="both"/>
        <w:rPr>
          <w:szCs w:val="22"/>
        </w:rPr>
      </w:pPr>
      <w:r w:rsidDel="008E3AD1">
        <w:rPr>
          <w:szCs w:val="22"/>
        </w:rPr>
        <w:t xml:space="preserve"> </w:t>
      </w:r>
      <w:r w:rsidR="00096974" w:rsidRPr="00473B17">
        <w:rPr>
          <w:szCs w:val="22"/>
        </w:rPr>
        <w:t xml:space="preserve">“PKV </w:t>
      </w:r>
      <w:r w:rsidR="0029487E" w:rsidRPr="00473B17">
        <w:rPr>
          <w:szCs w:val="22"/>
        </w:rPr>
        <w:t>LGBTI</w:t>
      </w:r>
      <w:r>
        <w:rPr>
          <w:szCs w:val="22"/>
        </w:rPr>
        <w:t>+</w:t>
      </w:r>
      <w:r w:rsidR="00096974" w:rsidRPr="00473B17">
        <w:rPr>
          <w:szCs w:val="22"/>
        </w:rPr>
        <w:t xml:space="preserve"> 2021</w:t>
      </w:r>
      <w:r w:rsidR="00DF48B6">
        <w:rPr>
          <w:szCs w:val="22"/>
        </w:rPr>
        <w:t>-</w:t>
      </w:r>
      <w:r w:rsidR="00096974" w:rsidRPr="00473B17">
        <w:rPr>
          <w:szCs w:val="22"/>
        </w:rPr>
        <w:t>2027</w:t>
      </w:r>
      <w:r>
        <w:rPr>
          <w:szCs w:val="22"/>
        </w:rPr>
        <w:t>”</w:t>
      </w:r>
      <w:r w:rsidR="00096974" w:rsidRPr="00473B17">
        <w:rPr>
          <w:szCs w:val="22"/>
        </w:rPr>
        <w:t xml:space="preserve"> ka një kohëzgjatje </w:t>
      </w:r>
      <w:r w:rsidR="00473B17" w:rsidRPr="00473B17">
        <w:rPr>
          <w:szCs w:val="22"/>
        </w:rPr>
        <w:t>7 (</w:t>
      </w:r>
      <w:r w:rsidR="00096974" w:rsidRPr="00473B17">
        <w:rPr>
          <w:szCs w:val="22"/>
        </w:rPr>
        <w:t>shtatë</w:t>
      </w:r>
      <w:r w:rsidR="00473B17" w:rsidRPr="00473B17">
        <w:rPr>
          <w:szCs w:val="22"/>
        </w:rPr>
        <w:t>)</w:t>
      </w:r>
      <w:r w:rsidR="00096974" w:rsidRPr="00473B17">
        <w:rPr>
          <w:szCs w:val="22"/>
        </w:rPr>
        <w:t xml:space="preserve"> vjeçare brenda së cilës synohet që në përputhje edhe me vizionin e paraqitur më sipër, të krijohet një mjedis gjithëpëfshirës, pranues dhe jo diskriminues për të gjithë </w:t>
      </w:r>
      <w:r w:rsidR="00473B17" w:rsidRPr="00473B17">
        <w:rPr>
          <w:szCs w:val="22"/>
        </w:rPr>
        <w:t>personat LGBTI</w:t>
      </w:r>
      <w:r>
        <w:rPr>
          <w:szCs w:val="22"/>
        </w:rPr>
        <w:t>+</w:t>
      </w:r>
      <w:r w:rsidR="00096974" w:rsidRPr="00473B17">
        <w:rPr>
          <w:szCs w:val="22"/>
        </w:rPr>
        <w:t>, pavarësisht shprehjes së identitetit gjinor</w:t>
      </w:r>
      <w:r>
        <w:rPr>
          <w:szCs w:val="22"/>
        </w:rPr>
        <w:t xml:space="preserve">, </w:t>
      </w:r>
      <w:r w:rsidR="00096974" w:rsidRPr="00473B17">
        <w:rPr>
          <w:szCs w:val="22"/>
        </w:rPr>
        <w:t>orientimit seksual</w:t>
      </w:r>
      <w:r>
        <w:rPr>
          <w:szCs w:val="22"/>
        </w:rPr>
        <w:t>, karakteristikave t</w:t>
      </w:r>
      <w:r w:rsidR="0046228A">
        <w:rPr>
          <w:szCs w:val="22"/>
        </w:rPr>
        <w:t>ë</w:t>
      </w:r>
      <w:r>
        <w:rPr>
          <w:szCs w:val="22"/>
        </w:rPr>
        <w:t xml:space="preserve"> seksit apo </w:t>
      </w:r>
      <w:r w:rsidR="00473B17" w:rsidRPr="00473B17">
        <w:rPr>
          <w:iCs/>
        </w:rPr>
        <w:t xml:space="preserve">karakteristikave të tjera </w:t>
      </w:r>
      <w:r w:rsidR="00473B17" w:rsidRPr="00473B17">
        <w:rPr>
          <w:iCs/>
        </w:rPr>
        <w:lastRenderedPageBreak/>
        <w:t>individuale</w:t>
      </w:r>
      <w:r>
        <w:rPr>
          <w:iCs/>
        </w:rPr>
        <w:t xml:space="preserve"> t</w:t>
      </w:r>
      <w:r w:rsidR="0046228A">
        <w:rPr>
          <w:iCs/>
        </w:rPr>
        <w:t>ë</w:t>
      </w:r>
      <w:r>
        <w:rPr>
          <w:iCs/>
        </w:rPr>
        <w:t xml:space="preserve"> tyre</w:t>
      </w:r>
      <w:r w:rsidR="00096974" w:rsidRPr="00473B17">
        <w:rPr>
          <w:szCs w:val="22"/>
        </w:rPr>
        <w:t>. Kjo nënkupton trajtimin në mënyrën e duhur</w:t>
      </w:r>
      <w:r w:rsidR="00473B17" w:rsidRPr="00473B17">
        <w:rPr>
          <w:szCs w:val="22"/>
        </w:rPr>
        <w:t xml:space="preserve"> sipas standardeve t</w:t>
      </w:r>
      <w:r w:rsidR="00B74C10" w:rsidRPr="00473B17">
        <w:rPr>
          <w:szCs w:val="22"/>
        </w:rPr>
        <w:t>ë</w:t>
      </w:r>
      <w:r w:rsidR="00473B17" w:rsidRPr="00473B17">
        <w:rPr>
          <w:szCs w:val="22"/>
        </w:rPr>
        <w:t xml:space="preserve"> zbatueshme</w:t>
      </w:r>
      <w:r w:rsidR="005C0044">
        <w:rPr>
          <w:szCs w:val="22"/>
        </w:rPr>
        <w:t xml:space="preserve"> </w:t>
      </w:r>
      <w:r w:rsidR="00473B17" w:rsidRPr="00473B17">
        <w:rPr>
          <w:szCs w:val="22"/>
        </w:rPr>
        <w:t>e t</w:t>
      </w:r>
      <w:r w:rsidR="00B74C10" w:rsidRPr="00473B17">
        <w:rPr>
          <w:szCs w:val="22"/>
        </w:rPr>
        <w:t>ë</w:t>
      </w:r>
      <w:r w:rsidR="00473B17" w:rsidRPr="00473B17">
        <w:rPr>
          <w:szCs w:val="22"/>
        </w:rPr>
        <w:t xml:space="preserve"> k</w:t>
      </w:r>
      <w:r w:rsidR="00B74C10" w:rsidRPr="00473B17">
        <w:rPr>
          <w:szCs w:val="22"/>
        </w:rPr>
        <w:t>ë</w:t>
      </w:r>
      <w:r w:rsidR="00473B17" w:rsidRPr="00473B17">
        <w:rPr>
          <w:szCs w:val="22"/>
        </w:rPr>
        <w:t>rkuara komb</w:t>
      </w:r>
      <w:r w:rsidR="00B74C10" w:rsidRPr="00473B17">
        <w:rPr>
          <w:szCs w:val="22"/>
        </w:rPr>
        <w:t>ë</w:t>
      </w:r>
      <w:r w:rsidR="00473B17" w:rsidRPr="00473B17">
        <w:rPr>
          <w:szCs w:val="22"/>
        </w:rPr>
        <w:t>tare dhe nd</w:t>
      </w:r>
      <w:r w:rsidR="00B74C10" w:rsidRPr="00473B17">
        <w:rPr>
          <w:szCs w:val="22"/>
        </w:rPr>
        <w:t>ë</w:t>
      </w:r>
      <w:r w:rsidR="00473B17" w:rsidRPr="00473B17">
        <w:rPr>
          <w:szCs w:val="22"/>
        </w:rPr>
        <w:t>rkomb</w:t>
      </w:r>
      <w:r w:rsidR="00B74C10" w:rsidRPr="00473B17">
        <w:rPr>
          <w:szCs w:val="22"/>
        </w:rPr>
        <w:t>ë</w:t>
      </w:r>
      <w:r w:rsidR="00473B17" w:rsidRPr="00473B17">
        <w:rPr>
          <w:szCs w:val="22"/>
        </w:rPr>
        <w:t>tare</w:t>
      </w:r>
      <w:r w:rsidR="00096974" w:rsidRPr="00473B17">
        <w:rPr>
          <w:szCs w:val="22"/>
        </w:rPr>
        <w:t>, nëpërmjet shërbimeve cilësore dhe përmes burimeve të mjaftueshme njerëzore, financiare e infra</w:t>
      </w:r>
      <w:r>
        <w:rPr>
          <w:szCs w:val="22"/>
        </w:rPr>
        <w:t>s</w:t>
      </w:r>
      <w:r w:rsidR="00096974" w:rsidRPr="00473B17">
        <w:rPr>
          <w:szCs w:val="22"/>
        </w:rPr>
        <w:t>trukturore</w:t>
      </w:r>
      <w:r w:rsidR="005C0044">
        <w:rPr>
          <w:szCs w:val="22"/>
        </w:rPr>
        <w:t xml:space="preserve">, </w:t>
      </w:r>
      <w:r w:rsidR="00096974" w:rsidRPr="00473B17">
        <w:rPr>
          <w:szCs w:val="22"/>
        </w:rPr>
        <w:t xml:space="preserve"> në përputhje me tërësinë e nevojave </w:t>
      </w:r>
      <w:r w:rsidR="005C0044">
        <w:rPr>
          <w:szCs w:val="22"/>
        </w:rPr>
        <w:t>dhe</w:t>
      </w:r>
      <w:r w:rsidR="00096974" w:rsidRPr="00473B17">
        <w:rPr>
          <w:szCs w:val="22"/>
        </w:rPr>
        <w:t xml:space="preserve"> duke u kushtuar vëm</w:t>
      </w:r>
      <w:r w:rsidR="00B74C10">
        <w:rPr>
          <w:szCs w:val="22"/>
        </w:rPr>
        <w:t>e</w:t>
      </w:r>
      <w:r w:rsidR="00096974" w:rsidRPr="00473B17">
        <w:rPr>
          <w:szCs w:val="22"/>
        </w:rPr>
        <w:t>nd</w:t>
      </w:r>
      <w:r w:rsidR="00B74C10">
        <w:rPr>
          <w:szCs w:val="22"/>
        </w:rPr>
        <w:t>j</w:t>
      </w:r>
      <w:r w:rsidR="00096974" w:rsidRPr="00473B17">
        <w:rPr>
          <w:szCs w:val="22"/>
        </w:rPr>
        <w:t xml:space="preserve">e të veçantë personave </w:t>
      </w:r>
      <w:r w:rsidR="005C0044">
        <w:rPr>
          <w:szCs w:val="22"/>
        </w:rPr>
        <w:t>LGBTI+</w:t>
      </w:r>
      <w:r w:rsidR="00B74C10" w:rsidRPr="00473B17">
        <w:rPr>
          <w:szCs w:val="22"/>
        </w:rPr>
        <w:t xml:space="preserve"> </w:t>
      </w:r>
      <w:r w:rsidR="00B74C10">
        <w:rPr>
          <w:szCs w:val="22"/>
        </w:rPr>
        <w:t>t</w:t>
      </w:r>
      <w:r w:rsidR="00096974" w:rsidRPr="00473B17">
        <w:rPr>
          <w:szCs w:val="22"/>
        </w:rPr>
        <w:t xml:space="preserve">ë </w:t>
      </w:r>
      <w:r w:rsidR="00B74C10">
        <w:rPr>
          <w:szCs w:val="22"/>
        </w:rPr>
        <w:t>cil</w:t>
      </w:r>
      <w:r w:rsidR="00B74C10" w:rsidRPr="00473B17">
        <w:rPr>
          <w:szCs w:val="22"/>
        </w:rPr>
        <w:t>ë</w:t>
      </w:r>
      <w:r w:rsidR="00B74C10">
        <w:rPr>
          <w:szCs w:val="22"/>
        </w:rPr>
        <w:t xml:space="preserve">t </w:t>
      </w:r>
      <w:r w:rsidR="00096974" w:rsidRPr="00473B17">
        <w:rPr>
          <w:szCs w:val="22"/>
        </w:rPr>
        <w:t>pësojnë diskriminim të shumëfishtë dhe janë më pak të pranuar. Synimi është përballja dhe trajtimi i elementëve paragjykues e diskriminues, krijimi i një mjedisi të sigurt, të pranueshëm e gjithëpërfshirës</w:t>
      </w:r>
      <w:r>
        <w:rPr>
          <w:szCs w:val="22"/>
        </w:rPr>
        <w:t>,</w:t>
      </w:r>
      <w:r w:rsidR="00096974" w:rsidRPr="00473B17">
        <w:rPr>
          <w:szCs w:val="22"/>
        </w:rPr>
        <w:t xml:space="preserve"> </w:t>
      </w:r>
      <w:r w:rsidRPr="00473B17">
        <w:rPr>
          <w:szCs w:val="22"/>
        </w:rPr>
        <w:t xml:space="preserve">si dhe avancimi drejt barazisë </w:t>
      </w:r>
      <w:r w:rsidR="00096974" w:rsidRPr="00473B17">
        <w:rPr>
          <w:szCs w:val="22"/>
        </w:rPr>
        <w:t xml:space="preserve">për </w:t>
      </w:r>
      <w:r>
        <w:rPr>
          <w:szCs w:val="22"/>
        </w:rPr>
        <w:t xml:space="preserve">personat </w:t>
      </w:r>
      <w:r w:rsidR="0029487E" w:rsidRPr="00473B17">
        <w:rPr>
          <w:szCs w:val="22"/>
        </w:rPr>
        <w:t>LGBTI</w:t>
      </w:r>
      <w:r>
        <w:rPr>
          <w:szCs w:val="22"/>
        </w:rPr>
        <w:t>+</w:t>
      </w:r>
      <w:r w:rsidR="00096974" w:rsidRPr="00473B17">
        <w:rPr>
          <w:szCs w:val="22"/>
        </w:rPr>
        <w:t>, përmes përmirësimit të kuadrit ligjor, politikave, shërbimeve dhe ndërtimit të kapaciteteve të duhura profesionale</w:t>
      </w:r>
      <w:r w:rsidR="00473B17">
        <w:rPr>
          <w:szCs w:val="22"/>
        </w:rPr>
        <w:t>”</w:t>
      </w:r>
      <w:r w:rsidR="00DF48B6">
        <w:rPr>
          <w:szCs w:val="22"/>
        </w:rPr>
        <w:t>.</w:t>
      </w:r>
    </w:p>
    <w:p w:rsidR="00096974" w:rsidRPr="00C8492A" w:rsidRDefault="00096974" w:rsidP="00BF02E2">
      <w:pPr>
        <w:spacing w:line="276" w:lineRule="auto"/>
        <w:jc w:val="both"/>
        <w:rPr>
          <w:szCs w:val="22"/>
        </w:rPr>
      </w:pPr>
    </w:p>
    <w:p w:rsidR="006556C1" w:rsidRPr="008551B5" w:rsidRDefault="006556C1" w:rsidP="00BF02E2">
      <w:pPr>
        <w:spacing w:line="276" w:lineRule="auto"/>
        <w:jc w:val="both"/>
        <w:rPr>
          <w:color w:val="FF00FF"/>
          <w:szCs w:val="22"/>
        </w:rPr>
      </w:pPr>
      <w:r w:rsidRPr="008551B5">
        <w:rPr>
          <w:b/>
          <w:i/>
          <w:color w:val="FF00FF"/>
          <w:szCs w:val="22"/>
        </w:rPr>
        <w:t>Parimet kryesore</w:t>
      </w:r>
      <w:r w:rsidRPr="008551B5">
        <w:rPr>
          <w:b/>
          <w:color w:val="FF00FF"/>
          <w:szCs w:val="22"/>
        </w:rPr>
        <w:t xml:space="preserve"> që udhëheqin “</w:t>
      </w:r>
      <w:r w:rsidR="005C2979" w:rsidRPr="008551B5">
        <w:rPr>
          <w:b/>
          <w:color w:val="FF00FF"/>
          <w:szCs w:val="22"/>
        </w:rPr>
        <w:t>PKV</w:t>
      </w:r>
      <w:r w:rsidRPr="008551B5">
        <w:rPr>
          <w:b/>
          <w:color w:val="FF00FF"/>
          <w:szCs w:val="22"/>
        </w:rPr>
        <w:t xml:space="preserve"> </w:t>
      </w:r>
      <w:r w:rsidR="00CF118A" w:rsidRPr="008551B5">
        <w:rPr>
          <w:b/>
          <w:color w:val="FF00FF"/>
          <w:szCs w:val="22"/>
        </w:rPr>
        <w:t>LGBTI</w:t>
      </w:r>
      <w:r w:rsidR="00AC4301" w:rsidRPr="008551B5">
        <w:rPr>
          <w:b/>
          <w:color w:val="FF00FF"/>
          <w:szCs w:val="22"/>
        </w:rPr>
        <w:t>+</w:t>
      </w:r>
      <w:r w:rsidR="00CF118A" w:rsidRPr="008551B5">
        <w:rPr>
          <w:b/>
          <w:color w:val="FF00FF"/>
          <w:szCs w:val="22"/>
        </w:rPr>
        <w:t xml:space="preserve"> </w:t>
      </w:r>
      <w:r w:rsidRPr="008551B5">
        <w:rPr>
          <w:b/>
          <w:color w:val="FF00FF"/>
          <w:szCs w:val="22"/>
        </w:rPr>
        <w:t>2021</w:t>
      </w:r>
      <w:r w:rsidR="00BA1224" w:rsidRPr="008551B5">
        <w:rPr>
          <w:b/>
          <w:color w:val="FF00FF"/>
          <w:szCs w:val="22"/>
        </w:rPr>
        <w:t>-</w:t>
      </w:r>
      <w:r w:rsidRPr="008551B5">
        <w:rPr>
          <w:b/>
          <w:color w:val="FF00FF"/>
          <w:szCs w:val="22"/>
        </w:rPr>
        <w:t>20</w:t>
      </w:r>
      <w:r w:rsidR="005C2979" w:rsidRPr="008551B5">
        <w:rPr>
          <w:b/>
          <w:color w:val="FF00FF"/>
          <w:szCs w:val="22"/>
        </w:rPr>
        <w:t>27</w:t>
      </w:r>
      <w:r w:rsidRPr="008551B5">
        <w:rPr>
          <w:b/>
          <w:color w:val="FF00FF"/>
          <w:szCs w:val="22"/>
        </w:rPr>
        <w:t>”</w:t>
      </w:r>
      <w:r w:rsidR="00AC4301" w:rsidRPr="008551B5">
        <w:rPr>
          <w:b/>
          <w:color w:val="FF00FF"/>
          <w:szCs w:val="22"/>
        </w:rPr>
        <w:t xml:space="preserve"> janë:</w:t>
      </w:r>
    </w:p>
    <w:p w:rsidR="007467FC" w:rsidRPr="00BD4B41" w:rsidRDefault="007467FC" w:rsidP="007467FC">
      <w:pPr>
        <w:shd w:val="clear" w:color="auto" w:fill="FFFFFF"/>
        <w:jc w:val="both"/>
        <w:rPr>
          <w:rFonts w:eastAsia="Times New Roman"/>
          <w:bCs/>
          <w:color w:val="222222"/>
          <w:lang w:eastAsia="en-CA"/>
        </w:rPr>
      </w:pPr>
      <w:r w:rsidRPr="008551B5">
        <w:rPr>
          <w:rFonts w:eastAsia="Times New Roman"/>
          <w:b/>
          <w:bCs/>
          <w:lang w:eastAsia="en-CA"/>
        </w:rPr>
        <w:t xml:space="preserve">Parimi për të gëzuar universalisht të drejtat e njeriut. </w:t>
      </w:r>
      <w:r w:rsidRPr="00BD4B41">
        <w:rPr>
          <w:rFonts w:eastAsia="Times New Roman"/>
          <w:bCs/>
          <w:color w:val="222222"/>
          <w:lang w:eastAsia="en-CA"/>
        </w:rPr>
        <w:t>Të gjitha qeniet njerëzore kanë lindur të lira dhe të barabarta në dinjitet dhe të drejta. Qeniet njerëzore të të gjitha orientimeve seksuale</w:t>
      </w:r>
      <w:r>
        <w:rPr>
          <w:rFonts w:eastAsia="Times New Roman"/>
          <w:bCs/>
          <w:color w:val="222222"/>
          <w:lang w:eastAsia="en-CA"/>
        </w:rPr>
        <w:t xml:space="preserve">, të të gjitha shprehjeve të </w:t>
      </w:r>
      <w:r w:rsidRPr="00BD4B41">
        <w:rPr>
          <w:rFonts w:eastAsia="Times New Roman"/>
          <w:bCs/>
          <w:color w:val="222222"/>
          <w:lang w:eastAsia="en-CA"/>
        </w:rPr>
        <w:t>identiteteve gjinore</w:t>
      </w:r>
      <w:r>
        <w:rPr>
          <w:rFonts w:eastAsia="Times New Roman"/>
          <w:bCs/>
          <w:color w:val="222222"/>
          <w:lang w:eastAsia="en-CA"/>
        </w:rPr>
        <w:t>, të të gjithga karakteristikave të seksit apo tërësisë së karakteristikave të tjera individuale,</w:t>
      </w:r>
      <w:r w:rsidRPr="00BD4B41">
        <w:rPr>
          <w:rFonts w:eastAsia="Times New Roman"/>
          <w:bCs/>
          <w:color w:val="222222"/>
          <w:lang w:eastAsia="en-CA"/>
        </w:rPr>
        <w:t xml:space="preserve"> kanë të drejtën e gëzimit të plotë të të gjitha të drejtave të njeriut.</w:t>
      </w:r>
    </w:p>
    <w:p w:rsidR="007467FC" w:rsidRDefault="007467FC" w:rsidP="007467FC">
      <w:pPr>
        <w:shd w:val="clear" w:color="auto" w:fill="FFFFFF"/>
        <w:jc w:val="both"/>
        <w:rPr>
          <w:rFonts w:eastAsia="Times New Roman"/>
          <w:b/>
          <w:bCs/>
          <w:color w:val="222222"/>
          <w:lang w:eastAsia="en-CA"/>
        </w:rPr>
      </w:pPr>
    </w:p>
    <w:p w:rsidR="007467FC" w:rsidRDefault="007467FC" w:rsidP="007467FC">
      <w:pPr>
        <w:shd w:val="clear" w:color="auto" w:fill="FFFFFF"/>
        <w:jc w:val="both"/>
        <w:rPr>
          <w:rFonts w:eastAsia="Times New Roman"/>
          <w:bCs/>
          <w:color w:val="222222"/>
          <w:lang w:eastAsia="en-CA"/>
        </w:rPr>
      </w:pPr>
      <w:r>
        <w:rPr>
          <w:rFonts w:eastAsia="Times New Roman"/>
          <w:b/>
          <w:bCs/>
          <w:color w:val="222222"/>
          <w:lang w:eastAsia="en-CA"/>
        </w:rPr>
        <w:t>Parimi</w:t>
      </w:r>
      <w:r w:rsidRPr="00BD4B41">
        <w:rPr>
          <w:rFonts w:eastAsia="Times New Roman"/>
          <w:b/>
          <w:bCs/>
          <w:color w:val="222222"/>
          <w:lang w:eastAsia="en-CA"/>
        </w:rPr>
        <w:t xml:space="preserve"> p</w:t>
      </w:r>
      <w:r>
        <w:rPr>
          <w:rFonts w:eastAsia="Times New Roman"/>
          <w:b/>
          <w:bCs/>
          <w:color w:val="222222"/>
          <w:lang w:eastAsia="en-CA"/>
        </w:rPr>
        <w:t>ë</w:t>
      </w:r>
      <w:r w:rsidRPr="00BD4B41">
        <w:rPr>
          <w:rFonts w:eastAsia="Times New Roman"/>
          <w:b/>
          <w:bCs/>
          <w:color w:val="222222"/>
          <w:lang w:eastAsia="en-CA"/>
        </w:rPr>
        <w:t xml:space="preserve">r </w:t>
      </w:r>
      <w:r>
        <w:rPr>
          <w:rFonts w:eastAsia="Times New Roman"/>
          <w:b/>
          <w:bCs/>
          <w:color w:val="222222"/>
          <w:lang w:eastAsia="en-CA"/>
        </w:rPr>
        <w:t>të gëzuar mbrojtje</w:t>
      </w:r>
      <w:r w:rsidRPr="00BD4B41">
        <w:rPr>
          <w:rFonts w:eastAsia="Times New Roman"/>
          <w:b/>
          <w:bCs/>
          <w:color w:val="222222"/>
          <w:lang w:eastAsia="en-CA"/>
        </w:rPr>
        <w:t xml:space="preserve"> nga shteti</w:t>
      </w:r>
      <w:r w:rsidR="008551B5">
        <w:rPr>
          <w:rFonts w:eastAsia="Times New Roman"/>
          <w:bCs/>
          <w:color w:val="222222"/>
          <w:lang w:eastAsia="en-CA"/>
        </w:rPr>
        <w:t>.</w:t>
      </w:r>
      <w:r>
        <w:rPr>
          <w:rFonts w:eastAsia="Times New Roman"/>
          <w:bCs/>
          <w:color w:val="222222"/>
          <w:lang w:eastAsia="en-CA"/>
        </w:rPr>
        <w:t xml:space="preserve"> </w:t>
      </w:r>
      <w:r w:rsidRPr="00F623D3">
        <w:rPr>
          <w:rFonts w:eastAsia="Times New Roman"/>
          <w:bCs/>
          <w:color w:val="222222"/>
          <w:lang w:eastAsia="en-CA"/>
        </w:rPr>
        <w:t>Të gjithë</w:t>
      </w:r>
      <w:r>
        <w:rPr>
          <w:rFonts w:eastAsia="Times New Roman"/>
          <w:bCs/>
          <w:color w:val="222222"/>
          <w:lang w:eastAsia="en-CA"/>
        </w:rPr>
        <w:t xml:space="preserve"> personat në një shoqëri</w:t>
      </w:r>
      <w:r w:rsidRPr="00F623D3">
        <w:rPr>
          <w:rFonts w:eastAsia="Times New Roman"/>
          <w:bCs/>
          <w:color w:val="222222"/>
          <w:lang w:eastAsia="en-CA"/>
        </w:rPr>
        <w:t xml:space="preserve">, pavarësisht nga orientimi seksual, </w:t>
      </w:r>
      <w:r>
        <w:rPr>
          <w:rFonts w:eastAsia="Times New Roman"/>
          <w:bCs/>
          <w:color w:val="222222"/>
          <w:lang w:eastAsia="en-CA"/>
        </w:rPr>
        <w:t xml:space="preserve">shprehja e identitetit </w:t>
      </w:r>
      <w:r w:rsidRPr="00F623D3">
        <w:rPr>
          <w:rFonts w:eastAsia="Times New Roman"/>
          <w:bCs/>
          <w:color w:val="222222"/>
          <w:lang w:eastAsia="en-CA"/>
        </w:rPr>
        <w:t xml:space="preserve">gjinor, </w:t>
      </w:r>
      <w:r>
        <w:rPr>
          <w:rFonts w:eastAsia="Times New Roman"/>
          <w:bCs/>
          <w:color w:val="222222"/>
          <w:lang w:eastAsia="en-CA"/>
        </w:rPr>
        <w:t>karakteristikat e seksit</w:t>
      </w:r>
      <w:r w:rsidRPr="00F623D3">
        <w:rPr>
          <w:rFonts w:eastAsia="Times New Roman"/>
          <w:bCs/>
          <w:color w:val="222222"/>
          <w:lang w:eastAsia="en-CA"/>
        </w:rPr>
        <w:t xml:space="preserve">, </w:t>
      </w:r>
      <w:r>
        <w:rPr>
          <w:rFonts w:eastAsia="Times New Roman"/>
          <w:bCs/>
          <w:color w:val="222222"/>
          <w:lang w:eastAsia="en-CA"/>
        </w:rPr>
        <w:t xml:space="preserve">apo karakteristika të tjera individuale, </w:t>
      </w:r>
      <w:r w:rsidRPr="00F623D3">
        <w:rPr>
          <w:rFonts w:eastAsia="Times New Roman"/>
          <w:bCs/>
          <w:color w:val="222222"/>
          <w:lang w:eastAsia="en-CA"/>
        </w:rPr>
        <w:t>ka</w:t>
      </w:r>
      <w:r>
        <w:rPr>
          <w:rFonts w:eastAsia="Times New Roman"/>
          <w:bCs/>
          <w:color w:val="222222"/>
          <w:lang w:eastAsia="en-CA"/>
        </w:rPr>
        <w:t>në</w:t>
      </w:r>
      <w:r w:rsidRPr="00F623D3">
        <w:rPr>
          <w:rFonts w:eastAsia="Times New Roman"/>
          <w:bCs/>
          <w:color w:val="222222"/>
          <w:lang w:eastAsia="en-CA"/>
        </w:rPr>
        <w:t xml:space="preserve"> të drejtë </w:t>
      </w:r>
      <w:r>
        <w:rPr>
          <w:rFonts w:eastAsia="Times New Roman"/>
          <w:bCs/>
          <w:color w:val="222222"/>
          <w:lang w:eastAsia="en-CA"/>
        </w:rPr>
        <w:t>të gëzojë</w:t>
      </w:r>
      <w:r w:rsidRPr="00F623D3">
        <w:rPr>
          <w:rFonts w:eastAsia="Times New Roman"/>
          <w:bCs/>
          <w:color w:val="222222"/>
          <w:lang w:eastAsia="en-CA"/>
        </w:rPr>
        <w:t xml:space="preserve"> mbrojtjen e shtetit nga dhuna, diskriminimi</w:t>
      </w:r>
      <w:r>
        <w:rPr>
          <w:rFonts w:eastAsia="Times New Roman"/>
          <w:bCs/>
          <w:color w:val="222222"/>
          <w:lang w:eastAsia="en-CA"/>
        </w:rPr>
        <w:t xml:space="preserve"> </w:t>
      </w:r>
      <w:r w:rsidRPr="00F623D3">
        <w:rPr>
          <w:rFonts w:eastAsia="Times New Roman"/>
          <w:bCs/>
          <w:color w:val="222222"/>
          <w:lang w:eastAsia="en-CA"/>
        </w:rPr>
        <w:t xml:space="preserve">dhe dëmtime të tjera, qoftë nga </w:t>
      </w:r>
      <w:r>
        <w:rPr>
          <w:rFonts w:eastAsia="Times New Roman"/>
          <w:bCs/>
          <w:color w:val="222222"/>
          <w:lang w:eastAsia="en-CA"/>
        </w:rPr>
        <w:t xml:space="preserve">ana e punonjëseve apo punonjësve të shtetit, </w:t>
      </w:r>
      <w:r w:rsidRPr="00F623D3">
        <w:rPr>
          <w:rFonts w:eastAsia="Times New Roman"/>
          <w:bCs/>
          <w:color w:val="222222"/>
          <w:lang w:eastAsia="en-CA"/>
        </w:rPr>
        <w:t>qoftë nga ndonjë individ apo grup</w:t>
      </w:r>
      <w:r>
        <w:rPr>
          <w:rFonts w:eastAsia="Times New Roman"/>
          <w:bCs/>
          <w:color w:val="222222"/>
          <w:lang w:eastAsia="en-CA"/>
        </w:rPr>
        <w:t xml:space="preserve"> i caktuar.</w:t>
      </w:r>
    </w:p>
    <w:p w:rsidR="007467FC" w:rsidRDefault="007467FC" w:rsidP="007467FC">
      <w:pPr>
        <w:shd w:val="clear" w:color="auto" w:fill="FFFFFF"/>
        <w:jc w:val="both"/>
        <w:rPr>
          <w:rFonts w:eastAsia="Times New Roman"/>
          <w:bCs/>
          <w:color w:val="222222"/>
          <w:lang w:eastAsia="en-CA"/>
        </w:rPr>
      </w:pPr>
    </w:p>
    <w:p w:rsidR="0071236B" w:rsidRDefault="0071236B" w:rsidP="0071236B">
      <w:pPr>
        <w:shd w:val="clear" w:color="auto" w:fill="FFFFFF"/>
        <w:jc w:val="both"/>
        <w:rPr>
          <w:rFonts w:eastAsia="Times New Roman"/>
          <w:color w:val="222222"/>
          <w:lang w:eastAsia="en-CA"/>
        </w:rPr>
      </w:pPr>
      <w:r w:rsidRPr="008551B5">
        <w:rPr>
          <w:rFonts w:eastAsia="Times New Roman"/>
          <w:b/>
          <w:bCs/>
          <w:lang w:eastAsia="en-CA"/>
        </w:rPr>
        <w:t>Parimi i mosdiskriminimit si pikënisje bazë në ofrimin e shërbimeve</w:t>
      </w:r>
      <w:r w:rsidR="008551B5" w:rsidRPr="008551B5">
        <w:rPr>
          <w:rFonts w:eastAsia="Times New Roman"/>
          <w:b/>
          <w:bCs/>
          <w:lang w:eastAsia="en-CA"/>
        </w:rPr>
        <w:t>.</w:t>
      </w:r>
      <w:r w:rsidRPr="008551B5">
        <w:rPr>
          <w:rFonts w:eastAsia="Times New Roman"/>
          <w:b/>
          <w:bCs/>
          <w:lang w:eastAsia="en-CA"/>
        </w:rPr>
        <w:t xml:space="preserve"> </w:t>
      </w:r>
      <w:r>
        <w:rPr>
          <w:rFonts w:eastAsia="Times New Roman"/>
          <w:color w:val="222222"/>
          <w:lang w:eastAsia="en-CA"/>
        </w:rPr>
        <w:t xml:space="preserve">Të </w:t>
      </w:r>
      <w:r w:rsidRPr="00265764">
        <w:rPr>
          <w:rFonts w:eastAsia="Times New Roman"/>
          <w:bCs/>
          <w:color w:val="222222"/>
          <w:lang w:eastAsia="en-CA"/>
        </w:rPr>
        <w:t xml:space="preserve">gjitha qeniet njerëzore </w:t>
      </w:r>
      <w:r>
        <w:rPr>
          <w:rFonts w:eastAsia="Times New Roman"/>
          <w:bCs/>
          <w:color w:val="222222"/>
          <w:lang w:eastAsia="en-CA"/>
        </w:rPr>
        <w:t xml:space="preserve">kanë të drejtë për </w:t>
      </w:r>
      <w:r>
        <w:rPr>
          <w:rFonts w:eastAsia="Times New Roman"/>
          <w:color w:val="222222"/>
          <w:lang w:eastAsia="en-CA"/>
        </w:rPr>
        <w:t>trajtim të</w:t>
      </w:r>
      <w:r w:rsidRPr="006A7EF3">
        <w:rPr>
          <w:rFonts w:eastAsia="Times New Roman"/>
          <w:color w:val="222222"/>
          <w:lang w:eastAsia="en-CA"/>
        </w:rPr>
        <w:t xml:space="preserve"> barabartë pavarësisht nga mosha, gjinia, raca, feja, kombësia, etnia, orientimi seksual</w:t>
      </w:r>
      <w:r>
        <w:rPr>
          <w:rFonts w:eastAsia="Times New Roman"/>
          <w:color w:val="222222"/>
          <w:lang w:eastAsia="en-CA"/>
        </w:rPr>
        <w:t>, shprehja e identitetit gjinor, karakteristikat e seksit</w:t>
      </w:r>
      <w:r w:rsidRPr="006A7EF3">
        <w:rPr>
          <w:rFonts w:eastAsia="Times New Roman"/>
          <w:color w:val="222222"/>
          <w:lang w:eastAsia="en-CA"/>
        </w:rPr>
        <w:t xml:space="preserve"> apo </w:t>
      </w:r>
      <w:r>
        <w:rPr>
          <w:rFonts w:eastAsia="Times New Roman"/>
          <w:color w:val="222222"/>
          <w:lang w:eastAsia="en-CA"/>
        </w:rPr>
        <w:t>çdo</w:t>
      </w:r>
      <w:r w:rsidRPr="006A7EF3">
        <w:rPr>
          <w:rFonts w:eastAsia="Times New Roman"/>
          <w:color w:val="222222"/>
          <w:lang w:eastAsia="en-CA"/>
        </w:rPr>
        <w:t xml:space="preserve"> karakteristikë tjetër</w:t>
      </w:r>
      <w:r>
        <w:rPr>
          <w:rFonts w:eastAsia="Times New Roman"/>
          <w:color w:val="222222"/>
          <w:lang w:eastAsia="en-CA"/>
        </w:rPr>
        <w:t xml:space="preserve">. </w:t>
      </w:r>
      <w:r>
        <w:t xml:space="preserve">“Diskriminimi” është çdo dallim, përjashtim, kufizim apo preferencë, bazuar në </w:t>
      </w:r>
      <w:r w:rsidR="00BD7CBF">
        <w:t>gjininë, racën, ngjyrën, etninë, gjuhën, identitetin gjinor, orientimin seksual, bindjet politike, fetare ose filozofike, gjendjen ekonomike, arsimore ose shoqërore, shtatzaninë, përkatësinë prindërore, përgjegjësinë prindërore, moshën, gjendjen familjare ose martesore, gjendjen civile, vendbanimin, gjendjen shëndetësore, predispozicione gjenetike, aftësinë e kufizuar, përkatësinë në një grup të veçantë, ose me çdo shkak tjetër</w:t>
      </w:r>
      <w:r>
        <w:t>, që ka si qëllim apo pasojë pengesën apo bërjen e pamundur të ushtrimit në të njëjtën mënyrë me të tjerët, të të drejtave e lirive themelore të njohura me Kushtetutën e Republikës së Shqipërisë, me aktet ndërkombëtare të ratifikuara nga Republika e Shqipërisë, si dhe me ligjet në fuqi</w:t>
      </w:r>
      <w:r w:rsidR="00BD7CBF">
        <w:rPr>
          <w:rStyle w:val="FootnoteReference"/>
        </w:rPr>
        <w:footnoteReference w:id="16"/>
      </w:r>
      <w:r w:rsidR="00BD7CBF">
        <w:rPr>
          <w:rFonts w:eastAsia="Times New Roman"/>
          <w:color w:val="222222"/>
          <w:lang w:eastAsia="en-CA"/>
        </w:rPr>
        <w:t>.</w:t>
      </w:r>
    </w:p>
    <w:p w:rsidR="0071236B" w:rsidRDefault="0071236B" w:rsidP="0071236B">
      <w:pPr>
        <w:shd w:val="clear" w:color="auto" w:fill="FFFFFF"/>
        <w:jc w:val="both"/>
        <w:rPr>
          <w:rFonts w:eastAsia="Times New Roman"/>
          <w:color w:val="222222"/>
          <w:lang w:eastAsia="en-CA"/>
        </w:rPr>
      </w:pPr>
    </w:p>
    <w:p w:rsidR="0071236B" w:rsidRDefault="0071236B" w:rsidP="0071236B">
      <w:pPr>
        <w:shd w:val="clear" w:color="auto" w:fill="FFFFFF"/>
        <w:jc w:val="both"/>
        <w:rPr>
          <w:rFonts w:eastAsia="Times New Roman"/>
          <w:color w:val="222222"/>
          <w:lang w:eastAsia="en-CA"/>
        </w:rPr>
      </w:pPr>
      <w:r w:rsidRPr="008551B5">
        <w:rPr>
          <w:rFonts w:eastAsia="Times New Roman"/>
          <w:b/>
          <w:bCs/>
          <w:lang w:eastAsia="en-CA"/>
        </w:rPr>
        <w:t>Parimi i afirmimit</w:t>
      </w:r>
      <w:r w:rsidRPr="008551B5">
        <w:rPr>
          <w:rFonts w:eastAsia="Times New Roman"/>
          <w:b/>
          <w:lang w:eastAsia="en-CA"/>
        </w:rPr>
        <w:t>/pohimit dhe respektit për identitetin personal</w:t>
      </w:r>
      <w:r w:rsidRPr="008551B5">
        <w:rPr>
          <w:rFonts w:eastAsia="Times New Roman"/>
          <w:lang w:eastAsia="en-CA"/>
        </w:rPr>
        <w:t>.</w:t>
      </w:r>
      <w:r w:rsidR="008551B5">
        <w:rPr>
          <w:rFonts w:eastAsia="Times New Roman"/>
          <w:lang w:eastAsia="en-CA"/>
        </w:rPr>
        <w:t xml:space="preserve"> </w:t>
      </w:r>
      <w:r>
        <w:rPr>
          <w:rFonts w:eastAsia="Times New Roman"/>
          <w:color w:val="222222"/>
          <w:lang w:eastAsia="en-CA"/>
        </w:rPr>
        <w:t>Afirmimi është një mënyrë e të kuptuarit dhe të krijuarit të hapësirave të sigurta për të gjithë njerëzit. Afirmimi</w:t>
      </w:r>
      <w:r w:rsidRPr="00F645BC">
        <w:rPr>
          <w:rFonts w:eastAsia="Times New Roman"/>
          <w:color w:val="222222"/>
          <w:lang w:eastAsia="en-CA"/>
        </w:rPr>
        <w:t xml:space="preserve"> është i rëndësishëm gjatë gjithë jetës.</w:t>
      </w:r>
      <w:r>
        <w:rPr>
          <w:rFonts w:eastAsia="Times New Roman"/>
          <w:color w:val="222222"/>
          <w:lang w:eastAsia="en-CA"/>
        </w:rPr>
        <w:t xml:space="preserve"> Personat </w:t>
      </w:r>
      <w:r w:rsidRPr="00F645BC">
        <w:rPr>
          <w:rFonts w:eastAsia="Times New Roman"/>
          <w:color w:val="222222"/>
          <w:lang w:eastAsia="en-CA"/>
        </w:rPr>
        <w:t>LGBT</w:t>
      </w:r>
      <w:r>
        <w:rPr>
          <w:rFonts w:eastAsia="Times New Roman"/>
          <w:color w:val="222222"/>
          <w:lang w:eastAsia="en-CA"/>
        </w:rPr>
        <w:t>I+</w:t>
      </w:r>
      <w:r w:rsidRPr="00F645BC">
        <w:rPr>
          <w:rFonts w:eastAsia="Times New Roman"/>
          <w:color w:val="222222"/>
          <w:lang w:eastAsia="en-CA"/>
        </w:rPr>
        <w:t xml:space="preserve"> shpesh kanë frikë se mund të abuzohen ose </w:t>
      </w:r>
      <w:r>
        <w:rPr>
          <w:rFonts w:eastAsia="Times New Roman"/>
          <w:color w:val="222222"/>
          <w:lang w:eastAsia="en-CA"/>
        </w:rPr>
        <w:t xml:space="preserve">se nuk do të mund të </w:t>
      </w:r>
      <w:r w:rsidRPr="00F645BC">
        <w:rPr>
          <w:rFonts w:eastAsia="Times New Roman"/>
          <w:color w:val="222222"/>
          <w:lang w:eastAsia="en-CA"/>
        </w:rPr>
        <w:t xml:space="preserve">marrin kujdes </w:t>
      </w:r>
      <w:r>
        <w:rPr>
          <w:rFonts w:eastAsia="Times New Roman"/>
          <w:color w:val="222222"/>
          <w:lang w:eastAsia="en-CA"/>
        </w:rPr>
        <w:t>sipas standardeve</w:t>
      </w:r>
      <w:r w:rsidRPr="00F645BC">
        <w:rPr>
          <w:rFonts w:eastAsia="Times New Roman"/>
          <w:color w:val="222222"/>
          <w:lang w:eastAsia="en-CA"/>
        </w:rPr>
        <w:t xml:space="preserve"> nëse janë të hapur për identitetin e tyre. </w:t>
      </w:r>
      <w:r>
        <w:rPr>
          <w:rFonts w:eastAsia="Times New Roman"/>
          <w:color w:val="222222"/>
          <w:lang w:eastAsia="en-CA"/>
        </w:rPr>
        <w:t xml:space="preserve">Kjo frikë </w:t>
      </w:r>
      <w:r w:rsidRPr="00F645BC">
        <w:rPr>
          <w:rFonts w:eastAsia="Times New Roman"/>
          <w:color w:val="222222"/>
          <w:lang w:eastAsia="en-CA"/>
        </w:rPr>
        <w:t>mund t'i shtyj</w:t>
      </w:r>
      <w:r>
        <w:rPr>
          <w:rFonts w:eastAsia="Times New Roman"/>
          <w:color w:val="222222"/>
          <w:lang w:eastAsia="en-CA"/>
        </w:rPr>
        <w:t>ë ata të fshehin orientimin seksual ose identitetin gjinor</w:t>
      </w:r>
      <w:r w:rsidRPr="00F645BC">
        <w:rPr>
          <w:rFonts w:eastAsia="Times New Roman"/>
          <w:color w:val="222222"/>
          <w:lang w:eastAsia="en-CA"/>
        </w:rPr>
        <w:t xml:space="preserve">, duke i shkëputur </w:t>
      </w:r>
      <w:r>
        <w:rPr>
          <w:rFonts w:eastAsia="Times New Roman"/>
          <w:color w:val="222222"/>
          <w:lang w:eastAsia="en-CA"/>
        </w:rPr>
        <w:t>kështu</w:t>
      </w:r>
      <w:r w:rsidRPr="00F645BC">
        <w:rPr>
          <w:rFonts w:eastAsia="Times New Roman"/>
          <w:color w:val="222222"/>
          <w:lang w:eastAsia="en-CA"/>
        </w:rPr>
        <w:t xml:space="preserve"> nga komuniteti i tyre dhe nga </w:t>
      </w:r>
      <w:r>
        <w:rPr>
          <w:rFonts w:eastAsia="Times New Roman"/>
          <w:color w:val="222222"/>
          <w:lang w:eastAsia="en-CA"/>
        </w:rPr>
        <w:t>afirmimet</w:t>
      </w:r>
      <w:r w:rsidRPr="00F645BC">
        <w:rPr>
          <w:rFonts w:eastAsia="Times New Roman"/>
          <w:color w:val="222222"/>
          <w:lang w:eastAsia="en-CA"/>
        </w:rPr>
        <w:t xml:space="preserve"> e rëndësishme për historinë dhe përvojën e tyre. Përqendrimi në </w:t>
      </w:r>
      <w:r>
        <w:rPr>
          <w:rFonts w:eastAsia="Times New Roman"/>
          <w:color w:val="222222"/>
          <w:lang w:eastAsia="en-CA"/>
        </w:rPr>
        <w:t>afirmim</w:t>
      </w:r>
      <w:r w:rsidRPr="00F645BC">
        <w:rPr>
          <w:rFonts w:eastAsia="Times New Roman"/>
          <w:color w:val="222222"/>
          <w:lang w:eastAsia="en-CA"/>
        </w:rPr>
        <w:t xml:space="preserve"> na lejon të kuptojmë se çfarë mund të bëjë mungesa e </w:t>
      </w:r>
      <w:r>
        <w:rPr>
          <w:rFonts w:eastAsia="Times New Roman"/>
          <w:color w:val="222222"/>
          <w:lang w:eastAsia="en-CA"/>
        </w:rPr>
        <w:t xml:space="preserve">tij </w:t>
      </w:r>
      <w:r w:rsidRPr="00F645BC">
        <w:rPr>
          <w:rFonts w:eastAsia="Times New Roman"/>
          <w:color w:val="222222"/>
          <w:lang w:eastAsia="en-CA"/>
        </w:rPr>
        <w:t xml:space="preserve">për ndjenjën e vetvetes të një personi dhe cilësinë e kujdesit të tij - veçanërisht kur njerëzit </w:t>
      </w:r>
      <w:r>
        <w:rPr>
          <w:rFonts w:eastAsia="Times New Roman"/>
          <w:color w:val="222222"/>
          <w:lang w:eastAsia="en-CA"/>
        </w:rPr>
        <w:t xml:space="preserve">rriten </w:t>
      </w:r>
      <w:r w:rsidRPr="00F645BC">
        <w:rPr>
          <w:rFonts w:eastAsia="Times New Roman"/>
          <w:color w:val="222222"/>
          <w:lang w:eastAsia="en-CA"/>
        </w:rPr>
        <w:t>dhe kanë nevojë për marrëdhënie të reja dhe forma të</w:t>
      </w:r>
      <w:r>
        <w:rPr>
          <w:rFonts w:eastAsia="Times New Roman"/>
          <w:color w:val="222222"/>
          <w:lang w:eastAsia="en-CA"/>
        </w:rPr>
        <w:t xml:space="preserve"> ndryshme </w:t>
      </w:r>
      <w:r>
        <w:rPr>
          <w:rFonts w:eastAsia="Times New Roman"/>
          <w:color w:val="222222"/>
          <w:lang w:eastAsia="en-CA"/>
        </w:rPr>
        <w:lastRenderedPageBreak/>
        <w:t>të</w:t>
      </w:r>
      <w:r w:rsidRPr="00F645BC">
        <w:rPr>
          <w:rFonts w:eastAsia="Times New Roman"/>
          <w:color w:val="222222"/>
          <w:lang w:eastAsia="en-CA"/>
        </w:rPr>
        <w:t xml:space="preserve"> kujdesit</w:t>
      </w:r>
      <w:r>
        <w:rPr>
          <w:rStyle w:val="FootnoteReference"/>
          <w:rFonts w:eastAsia="Times New Roman"/>
          <w:color w:val="222222"/>
          <w:lang w:eastAsia="en-CA"/>
        </w:rPr>
        <w:footnoteReference w:id="17"/>
      </w:r>
      <w:r w:rsidRPr="00F645BC">
        <w:rPr>
          <w:rFonts w:eastAsia="Times New Roman"/>
          <w:color w:val="222222"/>
          <w:lang w:eastAsia="en-CA"/>
        </w:rPr>
        <w:t>.</w:t>
      </w:r>
      <w:r w:rsidRPr="00F645BC" w:rsidDel="00F6593E">
        <w:rPr>
          <w:rFonts w:eastAsia="Times New Roman"/>
          <w:color w:val="222222"/>
          <w:lang w:eastAsia="en-CA"/>
        </w:rPr>
        <w:t xml:space="preserve"> </w:t>
      </w:r>
      <w:r>
        <w:rPr>
          <w:rFonts w:eastAsia="Times New Roman"/>
          <w:color w:val="222222"/>
          <w:lang w:eastAsia="en-CA"/>
        </w:rPr>
        <w:t>Pra, k</w:t>
      </w:r>
      <w:r w:rsidRPr="0000750E">
        <w:rPr>
          <w:rFonts w:eastAsia="Times New Roman"/>
          <w:color w:val="222222"/>
          <w:lang w:eastAsia="en-CA"/>
        </w:rPr>
        <w:t>oncepti i afirmimit është një formë aktive e shprehjes së identitetit</w:t>
      </w:r>
      <w:r>
        <w:rPr>
          <w:rFonts w:eastAsia="Times New Roman"/>
          <w:color w:val="222222"/>
          <w:lang w:eastAsia="en-CA"/>
        </w:rPr>
        <w:t xml:space="preserve"> dhe n</w:t>
      </w:r>
      <w:r w:rsidRPr="0000750E">
        <w:rPr>
          <w:rFonts w:eastAsia="Times New Roman"/>
          <w:color w:val="222222"/>
          <w:lang w:eastAsia="en-CA"/>
        </w:rPr>
        <w:t xml:space="preserve">ë kontekstin e </w:t>
      </w:r>
      <w:r w:rsidR="00BD7CBF">
        <w:rPr>
          <w:rFonts w:eastAsia="Times New Roman"/>
          <w:color w:val="222222"/>
          <w:lang w:eastAsia="en-CA"/>
        </w:rPr>
        <w:t xml:space="preserve">personave </w:t>
      </w:r>
      <w:r w:rsidRPr="0000750E">
        <w:rPr>
          <w:rFonts w:eastAsia="Times New Roman"/>
          <w:color w:val="222222"/>
          <w:lang w:eastAsia="en-CA"/>
        </w:rPr>
        <w:t xml:space="preserve">LGBTI+ </w:t>
      </w:r>
      <w:r>
        <w:rPr>
          <w:rFonts w:eastAsia="Times New Roman"/>
          <w:color w:val="222222"/>
          <w:lang w:eastAsia="en-CA"/>
        </w:rPr>
        <w:t>ai</w:t>
      </w:r>
      <w:r w:rsidRPr="0000750E">
        <w:rPr>
          <w:rFonts w:eastAsia="Times New Roman"/>
          <w:color w:val="222222"/>
          <w:lang w:eastAsia="en-CA"/>
        </w:rPr>
        <w:t xml:space="preserve"> lidhet sidomos me problematikën e “fshehjes” së</w:t>
      </w:r>
      <w:r>
        <w:rPr>
          <w:rFonts w:eastAsia="Times New Roman"/>
          <w:color w:val="222222"/>
          <w:lang w:eastAsia="en-CA"/>
        </w:rPr>
        <w:t xml:space="preserve"> </w:t>
      </w:r>
      <w:r w:rsidR="00BD7CBF">
        <w:rPr>
          <w:rFonts w:eastAsia="Times New Roman"/>
          <w:color w:val="222222"/>
          <w:lang w:eastAsia="en-CA"/>
        </w:rPr>
        <w:t xml:space="preserve">tyre </w:t>
      </w:r>
      <w:r w:rsidRPr="0000750E">
        <w:rPr>
          <w:rFonts w:eastAsia="Times New Roman"/>
          <w:color w:val="222222"/>
          <w:lang w:eastAsia="en-CA"/>
        </w:rPr>
        <w:t xml:space="preserve"> apo statistikave </w:t>
      </w:r>
      <w:r>
        <w:rPr>
          <w:rFonts w:eastAsia="Times New Roman"/>
          <w:color w:val="222222"/>
          <w:lang w:eastAsia="en-CA"/>
        </w:rPr>
        <w:t>rreth tyre,</w:t>
      </w:r>
      <w:r w:rsidRPr="0000750E">
        <w:rPr>
          <w:rFonts w:eastAsia="Times New Roman"/>
          <w:color w:val="222222"/>
          <w:lang w:eastAsia="en-CA"/>
        </w:rPr>
        <w:t xml:space="preserve"> në shërbime të ndryshme.</w:t>
      </w:r>
    </w:p>
    <w:p w:rsidR="007F41A0" w:rsidRDefault="007F41A0" w:rsidP="0071236B">
      <w:pPr>
        <w:shd w:val="clear" w:color="auto" w:fill="FFFFFF"/>
        <w:jc w:val="both"/>
        <w:rPr>
          <w:rFonts w:eastAsia="Times New Roman"/>
          <w:color w:val="222222"/>
          <w:lang w:eastAsia="en-CA"/>
        </w:rPr>
      </w:pPr>
    </w:p>
    <w:p w:rsidR="007F41A0" w:rsidRDefault="007F41A0" w:rsidP="007F41A0">
      <w:pPr>
        <w:shd w:val="clear" w:color="auto" w:fill="FFFFFF"/>
        <w:jc w:val="both"/>
        <w:rPr>
          <w:rFonts w:eastAsia="Times New Roman"/>
          <w:color w:val="222222"/>
          <w:lang w:eastAsia="en-CA"/>
        </w:rPr>
      </w:pPr>
      <w:r w:rsidRPr="008551B5">
        <w:rPr>
          <w:rFonts w:eastAsia="Times New Roman"/>
          <w:b/>
          <w:lang w:eastAsia="en-CA"/>
        </w:rPr>
        <w:t>Parimi i konfidencialitetit dhe mbrojtjes së të dhënave personale</w:t>
      </w:r>
      <w:r w:rsidRPr="008551B5">
        <w:rPr>
          <w:rFonts w:eastAsia="Times New Roman"/>
          <w:lang w:eastAsia="en-CA"/>
        </w:rPr>
        <w:t xml:space="preserve">. </w:t>
      </w:r>
      <w:r w:rsidRPr="0062680A">
        <w:rPr>
          <w:rFonts w:eastAsia="Times New Roman"/>
          <w:color w:val="222222"/>
          <w:lang w:eastAsia="en-CA"/>
        </w:rPr>
        <w:t>Të dhënat personale të</w:t>
      </w:r>
      <w:r>
        <w:rPr>
          <w:rFonts w:eastAsia="Times New Roman"/>
          <w:color w:val="222222"/>
          <w:lang w:eastAsia="en-CA"/>
        </w:rPr>
        <w:t xml:space="preserve"> personave LGBTI+ duhet të mbahen</w:t>
      </w:r>
      <w:r w:rsidRPr="0062680A">
        <w:rPr>
          <w:rFonts w:eastAsia="Times New Roman"/>
          <w:color w:val="222222"/>
          <w:lang w:eastAsia="en-CA"/>
        </w:rPr>
        <w:t xml:space="preserve"> konfidenciale dhe</w:t>
      </w:r>
      <w:r>
        <w:rPr>
          <w:rFonts w:eastAsia="Times New Roman"/>
          <w:color w:val="222222"/>
          <w:lang w:eastAsia="en-CA"/>
        </w:rPr>
        <w:t xml:space="preserve"> të</w:t>
      </w:r>
      <w:r w:rsidRPr="0062680A">
        <w:rPr>
          <w:rFonts w:eastAsia="Times New Roman"/>
          <w:color w:val="222222"/>
          <w:lang w:eastAsia="en-CA"/>
        </w:rPr>
        <w:t xml:space="preserve"> mbrohen e</w:t>
      </w:r>
      <w:r>
        <w:rPr>
          <w:rFonts w:eastAsia="Times New Roman"/>
          <w:color w:val="222222"/>
          <w:lang w:eastAsia="en-CA"/>
        </w:rPr>
        <w:t xml:space="preserve"> </w:t>
      </w:r>
      <w:r w:rsidRPr="0062680A">
        <w:rPr>
          <w:rFonts w:eastAsia="Times New Roman"/>
          <w:color w:val="222222"/>
          <w:lang w:eastAsia="en-CA"/>
        </w:rPr>
        <w:t xml:space="preserve">përpunohen sipas ligjit në fuqi për mbrojtjen e të dhënave personale. </w:t>
      </w:r>
      <w:r>
        <w:rPr>
          <w:rFonts w:eastAsia="Times New Roman"/>
          <w:color w:val="222222"/>
          <w:lang w:eastAsia="en-CA"/>
        </w:rPr>
        <w:t>Profesionistet dhe profesionistët e</w:t>
      </w:r>
      <w:r w:rsidRPr="0062680A">
        <w:rPr>
          <w:rFonts w:eastAsia="Times New Roman"/>
          <w:color w:val="222222"/>
          <w:lang w:eastAsia="en-CA"/>
        </w:rPr>
        <w:t xml:space="preserve"> angazhuar në ofrimin e shërbimeve </w:t>
      </w:r>
      <w:r>
        <w:rPr>
          <w:rFonts w:eastAsia="Times New Roman"/>
          <w:color w:val="222222"/>
          <w:lang w:eastAsia="en-CA"/>
        </w:rPr>
        <w:t xml:space="preserve">të ndryshme për personat LGBTI+ kanë detyrim </w:t>
      </w:r>
      <w:r w:rsidRPr="0062680A">
        <w:rPr>
          <w:rFonts w:eastAsia="Times New Roman"/>
          <w:color w:val="222222"/>
          <w:lang w:eastAsia="en-CA"/>
        </w:rPr>
        <w:t>ruajtjen e</w:t>
      </w:r>
      <w:r>
        <w:rPr>
          <w:rFonts w:eastAsia="Times New Roman"/>
          <w:color w:val="222222"/>
          <w:lang w:eastAsia="en-CA"/>
        </w:rPr>
        <w:t xml:space="preserve"> </w:t>
      </w:r>
      <w:r w:rsidRPr="0062680A">
        <w:rPr>
          <w:rFonts w:eastAsia="Times New Roman"/>
          <w:color w:val="222222"/>
          <w:lang w:eastAsia="en-CA"/>
        </w:rPr>
        <w:t>konfidencialitetit edhe pas përfundimit të marrëdhënies së punës, funksionit apo</w:t>
      </w:r>
      <w:r>
        <w:rPr>
          <w:rFonts w:eastAsia="Times New Roman"/>
          <w:color w:val="222222"/>
          <w:lang w:eastAsia="en-CA"/>
        </w:rPr>
        <w:t xml:space="preserve"> </w:t>
      </w:r>
      <w:r w:rsidRPr="0062680A">
        <w:rPr>
          <w:rFonts w:eastAsia="Times New Roman"/>
          <w:color w:val="222222"/>
          <w:lang w:eastAsia="en-CA"/>
        </w:rPr>
        <w:t>detyrës.</w:t>
      </w:r>
    </w:p>
    <w:p w:rsidR="007F41A0" w:rsidRDefault="007F41A0" w:rsidP="007F41A0">
      <w:pPr>
        <w:shd w:val="clear" w:color="auto" w:fill="FFFFFF"/>
        <w:jc w:val="both"/>
        <w:rPr>
          <w:rFonts w:eastAsia="Times New Roman"/>
          <w:color w:val="222222"/>
          <w:lang w:eastAsia="en-CA"/>
        </w:rPr>
      </w:pPr>
    </w:p>
    <w:p w:rsidR="007F41A0" w:rsidRPr="001A57EC" w:rsidRDefault="007F41A0" w:rsidP="0005701D">
      <w:pPr>
        <w:shd w:val="clear" w:color="auto" w:fill="FFFFFF"/>
        <w:jc w:val="both"/>
        <w:rPr>
          <w:rFonts w:eastAsia="Times New Roman"/>
          <w:color w:val="222222"/>
          <w:lang w:eastAsia="en-CA"/>
        </w:rPr>
      </w:pPr>
      <w:r w:rsidRPr="008551B5">
        <w:rPr>
          <w:rFonts w:eastAsia="Times New Roman"/>
          <w:b/>
          <w:lang w:eastAsia="en-CA"/>
        </w:rPr>
        <w:t>Parimi “Mos lëndo” dhe vendosja e personit LGBTI+ në qendër të shërbimit</w:t>
      </w:r>
      <w:r w:rsidRPr="008551B5">
        <w:rPr>
          <w:rFonts w:eastAsia="Times New Roman"/>
          <w:lang w:eastAsia="en-CA"/>
        </w:rPr>
        <w:t xml:space="preserve">. </w:t>
      </w:r>
      <w:r>
        <w:rPr>
          <w:rFonts w:eastAsia="Times New Roman"/>
          <w:color w:val="222222"/>
          <w:lang w:eastAsia="en-CA"/>
        </w:rPr>
        <w:t>Parimi</w:t>
      </w:r>
      <w:r w:rsidRPr="00120EBE">
        <w:rPr>
          <w:rFonts w:eastAsia="Times New Roman"/>
          <w:color w:val="222222"/>
          <w:lang w:eastAsia="en-CA"/>
        </w:rPr>
        <w:t xml:space="preserve"> ‘Mos </w:t>
      </w:r>
      <w:r>
        <w:rPr>
          <w:rFonts w:eastAsia="Times New Roman"/>
          <w:color w:val="222222"/>
          <w:lang w:eastAsia="en-CA"/>
        </w:rPr>
        <w:t xml:space="preserve">lëndo” sjell në vëmendje faktin që ndihma e ofruar </w:t>
      </w:r>
      <w:r w:rsidRPr="00120EBE">
        <w:rPr>
          <w:rFonts w:eastAsia="Times New Roman"/>
          <w:color w:val="222222"/>
          <w:lang w:eastAsia="en-CA"/>
        </w:rPr>
        <w:t>dhe mënyra se si administrohe</w:t>
      </w:r>
      <w:r>
        <w:rPr>
          <w:rFonts w:eastAsia="Times New Roman"/>
          <w:color w:val="222222"/>
          <w:lang w:eastAsia="en-CA"/>
        </w:rPr>
        <w:t xml:space="preserve">t, </w:t>
      </w:r>
      <w:r w:rsidRPr="00120EBE">
        <w:rPr>
          <w:rFonts w:eastAsia="Times New Roman"/>
          <w:color w:val="222222"/>
          <w:lang w:eastAsia="en-CA"/>
        </w:rPr>
        <w:t>mund të shkaktojë dëm ose mund të forcojë kapacitetet</w:t>
      </w:r>
      <w:r>
        <w:rPr>
          <w:rFonts w:eastAsia="Times New Roman"/>
          <w:color w:val="222222"/>
          <w:lang w:eastAsia="en-CA"/>
        </w:rPr>
        <w:t xml:space="preserve"> e personave LGBTI+. Prandaj është shumë e rëndësishme për ofrueset dhe ofruesit e shërbimeve në të gjitha fushat, të arrijnë të kuptojnë kontekstin në të cilin ka nevojë të ofrohet ndihmë dhe më pas të veprojnë në bazë të të kuptuarit të këtij konteksti, për të shmangur pasojat negative në veprimet e tyre. Gjithashtu, në filozofinë e ofrimit të shërbimeve përmes qasjesve shumë-disiplinare të koordinuara, duhet të mbahet në konsideratë rëndësia e pasjes së personave LGBTI+ në qendër të sistemit dhe reagimeve – me fjalë të tjera, ofrimi i shërbimeve në bazë të nevojave dhe prioriteteve të tyre. Lidhur ngusht</w:t>
      </w:r>
      <w:r w:rsidR="00EC05C9">
        <w:rPr>
          <w:rFonts w:eastAsia="Times New Roman"/>
          <w:color w:val="222222"/>
          <w:lang w:eastAsia="en-CA"/>
        </w:rPr>
        <w:t>ë</w:t>
      </w:r>
      <w:r>
        <w:rPr>
          <w:rFonts w:eastAsia="Times New Roman"/>
          <w:color w:val="222222"/>
          <w:lang w:eastAsia="en-CA"/>
        </w:rPr>
        <w:t>sisht me k</w:t>
      </w:r>
      <w:r w:rsidR="00EC05C9">
        <w:rPr>
          <w:rFonts w:eastAsia="Times New Roman"/>
          <w:color w:val="222222"/>
          <w:lang w:eastAsia="en-CA"/>
        </w:rPr>
        <w:t>ë</w:t>
      </w:r>
      <w:r>
        <w:rPr>
          <w:rFonts w:eastAsia="Times New Roman"/>
          <w:color w:val="222222"/>
          <w:lang w:eastAsia="en-CA"/>
        </w:rPr>
        <w:t>tr</w:t>
      </w:r>
      <w:r w:rsidR="00EC05C9">
        <w:rPr>
          <w:rFonts w:eastAsia="Times New Roman"/>
          <w:color w:val="222222"/>
          <w:lang w:eastAsia="en-CA"/>
        </w:rPr>
        <w:t>ë</w:t>
      </w:r>
      <w:r>
        <w:rPr>
          <w:rFonts w:eastAsia="Times New Roman"/>
          <w:color w:val="222222"/>
          <w:lang w:eastAsia="en-CA"/>
        </w:rPr>
        <w:t xml:space="preserve"> parim </w:t>
      </w:r>
      <w:r w:rsidR="00EC05C9">
        <w:rPr>
          <w:rFonts w:eastAsia="Times New Roman"/>
          <w:color w:val="222222"/>
          <w:lang w:eastAsia="en-CA"/>
        </w:rPr>
        <w:t>ë</w:t>
      </w:r>
      <w:r>
        <w:rPr>
          <w:rFonts w:eastAsia="Times New Roman"/>
          <w:color w:val="222222"/>
          <w:lang w:eastAsia="en-CA"/>
        </w:rPr>
        <w:t>sht</w:t>
      </w:r>
      <w:r w:rsidR="00EC05C9">
        <w:rPr>
          <w:rFonts w:eastAsia="Times New Roman"/>
          <w:color w:val="222222"/>
          <w:lang w:eastAsia="en-CA"/>
        </w:rPr>
        <w:t>ë</w:t>
      </w:r>
      <w:r>
        <w:rPr>
          <w:rFonts w:eastAsia="Times New Roman"/>
          <w:color w:val="222222"/>
          <w:lang w:eastAsia="en-CA"/>
        </w:rPr>
        <w:t xml:space="preserve"> edhe </w:t>
      </w:r>
      <w:r w:rsidRPr="008551B5">
        <w:rPr>
          <w:rFonts w:eastAsia="Times New Roman"/>
          <w:b/>
          <w:lang w:eastAsia="en-CA"/>
        </w:rPr>
        <w:t>parimi i sigurisë, dinjitetit, diversitetit dhe aksesit në shërbime.</w:t>
      </w:r>
      <w:r>
        <w:rPr>
          <w:rFonts w:eastAsia="Times New Roman"/>
          <w:color w:val="222222"/>
          <w:lang w:eastAsia="en-CA"/>
        </w:rPr>
        <w:t xml:space="preserve"> Të gjitha </w:t>
      </w:r>
      <w:r w:rsidRPr="00C24E46">
        <w:rPr>
          <w:rFonts w:eastAsia="Times New Roman"/>
          <w:color w:val="222222"/>
          <w:lang w:eastAsia="en-CA"/>
        </w:rPr>
        <w:t xml:space="preserve">ndërhyrjet </w:t>
      </w:r>
      <w:r>
        <w:rPr>
          <w:rFonts w:eastAsia="Times New Roman"/>
          <w:color w:val="222222"/>
          <w:lang w:eastAsia="en-CA"/>
        </w:rPr>
        <w:t>për personat LGBTI+ për ngritjen apo ofrimin e çdo shërbimi, duhet t’</w:t>
      </w:r>
      <w:r w:rsidRPr="00C24E46">
        <w:rPr>
          <w:rFonts w:eastAsia="Times New Roman"/>
          <w:color w:val="222222"/>
          <w:lang w:eastAsia="en-CA"/>
        </w:rPr>
        <w:t>i japin pë</w:t>
      </w:r>
      <w:r>
        <w:rPr>
          <w:rFonts w:eastAsia="Times New Roman"/>
          <w:color w:val="222222"/>
          <w:lang w:eastAsia="en-CA"/>
        </w:rPr>
        <w:t xml:space="preserve">rparësi sigurisë </w:t>
      </w:r>
      <w:r w:rsidRPr="00C24E46">
        <w:rPr>
          <w:rFonts w:eastAsia="Times New Roman"/>
          <w:color w:val="222222"/>
          <w:lang w:eastAsia="en-CA"/>
        </w:rPr>
        <w:t>dhe dinjitetit të përdoruesve të shërbimit dhe personelit</w:t>
      </w:r>
      <w:r>
        <w:rPr>
          <w:rFonts w:eastAsia="Times New Roman"/>
          <w:color w:val="222222"/>
          <w:lang w:eastAsia="en-CA"/>
        </w:rPr>
        <w:t>. Gjatë ofrimit të këtyre s</w:t>
      </w:r>
      <w:r w:rsidRPr="005D7D36">
        <w:rPr>
          <w:rFonts w:eastAsia="Times New Roman"/>
          <w:color w:val="222222"/>
          <w:lang w:eastAsia="en-CA"/>
        </w:rPr>
        <w:t>hërbime</w:t>
      </w:r>
      <w:r>
        <w:rPr>
          <w:rFonts w:eastAsia="Times New Roman"/>
          <w:color w:val="222222"/>
          <w:lang w:eastAsia="en-CA"/>
        </w:rPr>
        <w:t>ve është e rëndësishme të respektohet diversiteti dhe aksesi për të gjithë personat LGBTI+ në varësi edhe të nevojave të tyre.</w:t>
      </w:r>
      <w:r w:rsidRPr="001A57EC">
        <w:t xml:space="preserve"> </w:t>
      </w:r>
      <w:r w:rsidRPr="001A57EC">
        <w:rPr>
          <w:rFonts w:eastAsia="Times New Roman"/>
          <w:color w:val="222222"/>
          <w:lang w:eastAsia="en-CA"/>
        </w:rPr>
        <w:t xml:space="preserve">Çdo plan </w:t>
      </w:r>
      <w:r>
        <w:rPr>
          <w:rFonts w:eastAsia="Times New Roman"/>
          <w:color w:val="222222"/>
          <w:lang w:eastAsia="en-CA"/>
        </w:rPr>
        <w:t>individual që përgatitet në qendrat e sh</w:t>
      </w:r>
      <w:r w:rsidR="00EC05C9">
        <w:rPr>
          <w:rFonts w:eastAsia="Times New Roman"/>
          <w:color w:val="222222"/>
          <w:lang w:eastAsia="en-CA"/>
        </w:rPr>
        <w:t>ë</w:t>
      </w:r>
      <w:r>
        <w:rPr>
          <w:rFonts w:eastAsia="Times New Roman"/>
          <w:color w:val="222222"/>
          <w:lang w:eastAsia="en-CA"/>
        </w:rPr>
        <w:t>rbimeve, me qëllim adresimin e situatës së një personi LGBTI+ në nevojë për mbështetje dhe ndihmë,</w:t>
      </w:r>
      <w:r w:rsidRPr="001A57EC">
        <w:rPr>
          <w:rFonts w:eastAsia="Times New Roman"/>
          <w:color w:val="222222"/>
          <w:lang w:eastAsia="en-CA"/>
        </w:rPr>
        <w:t xml:space="preserve"> duhet patjetër të </w:t>
      </w:r>
      <w:r>
        <w:rPr>
          <w:rFonts w:eastAsia="Times New Roman"/>
          <w:color w:val="222222"/>
          <w:lang w:eastAsia="en-CA"/>
        </w:rPr>
        <w:t>p</w:t>
      </w:r>
      <w:r w:rsidR="00EC05C9">
        <w:rPr>
          <w:rFonts w:eastAsia="Times New Roman"/>
          <w:color w:val="222222"/>
          <w:lang w:eastAsia="en-CA"/>
        </w:rPr>
        <w:t>ë</w:t>
      </w:r>
      <w:r>
        <w:rPr>
          <w:rFonts w:eastAsia="Times New Roman"/>
          <w:color w:val="222222"/>
          <w:lang w:eastAsia="en-CA"/>
        </w:rPr>
        <w:t>rmbaj</w:t>
      </w:r>
      <w:r w:rsidR="00EC05C9">
        <w:rPr>
          <w:rFonts w:eastAsia="Times New Roman"/>
          <w:color w:val="222222"/>
          <w:lang w:eastAsia="en-CA"/>
        </w:rPr>
        <w:t>ë</w:t>
      </w:r>
      <w:r>
        <w:rPr>
          <w:rFonts w:eastAsia="Times New Roman"/>
          <w:color w:val="222222"/>
          <w:lang w:eastAsia="en-CA"/>
        </w:rPr>
        <w:t xml:space="preserve"> si element kryesor</w:t>
      </w:r>
      <w:r w:rsidRPr="001A57EC">
        <w:rPr>
          <w:rFonts w:eastAsia="Times New Roman"/>
          <w:color w:val="222222"/>
          <w:lang w:eastAsia="en-CA"/>
        </w:rPr>
        <w:t xml:space="preserve"> sigurinë e tyre. </w:t>
      </w:r>
    </w:p>
    <w:p w:rsidR="007F41A0" w:rsidRDefault="007F41A0" w:rsidP="0071236B">
      <w:pPr>
        <w:shd w:val="clear" w:color="auto" w:fill="FFFFFF"/>
        <w:jc w:val="both"/>
        <w:rPr>
          <w:rFonts w:eastAsia="Times New Roman"/>
          <w:bCs/>
          <w:color w:val="222222"/>
          <w:lang w:eastAsia="en-CA"/>
        </w:rPr>
      </w:pPr>
    </w:p>
    <w:p w:rsidR="00A93781" w:rsidRPr="00F9598B" w:rsidRDefault="00A93781" w:rsidP="006F04D1">
      <w:pPr>
        <w:spacing w:line="276" w:lineRule="auto"/>
        <w:jc w:val="both"/>
      </w:pPr>
    </w:p>
    <w:p w:rsidR="00EB2DF0" w:rsidRPr="001B1D14" w:rsidRDefault="00EB2DF0" w:rsidP="00BF02E2">
      <w:pPr>
        <w:spacing w:line="276" w:lineRule="auto"/>
        <w:jc w:val="both"/>
        <w:rPr>
          <w:szCs w:val="22"/>
        </w:rPr>
      </w:pPr>
    </w:p>
    <w:p w:rsidR="00B763B1" w:rsidRPr="008551B5" w:rsidRDefault="00B763B1" w:rsidP="008551B5">
      <w:pPr>
        <w:pStyle w:val="Heading2"/>
        <w:shd w:val="clear" w:color="auto" w:fill="99FFCC"/>
        <w:spacing w:before="0" w:line="276" w:lineRule="auto"/>
        <w:rPr>
          <w:rFonts w:ascii="Times New Roman" w:eastAsiaTheme="minorHAnsi" w:hAnsi="Times New Roman"/>
          <w:color w:val="FF00FF"/>
          <w:sz w:val="24"/>
          <w:szCs w:val="24"/>
          <w:lang w:eastAsia="en-US"/>
        </w:rPr>
      </w:pPr>
      <w:bookmarkStart w:id="22" w:name="_Toc79509624"/>
      <w:r w:rsidRPr="008551B5">
        <w:rPr>
          <w:rFonts w:ascii="Times New Roman" w:eastAsiaTheme="minorHAnsi" w:hAnsi="Times New Roman"/>
          <w:color w:val="FF00FF"/>
          <w:sz w:val="24"/>
          <w:szCs w:val="24"/>
          <w:lang w:eastAsia="en-US"/>
        </w:rPr>
        <w:t>5. Metodologjia</w:t>
      </w:r>
      <w:bookmarkEnd w:id="22"/>
    </w:p>
    <w:p w:rsidR="00296C4D" w:rsidRDefault="00296C4D" w:rsidP="00BF02E2">
      <w:pPr>
        <w:spacing w:line="276" w:lineRule="auto"/>
        <w:jc w:val="both"/>
        <w:rPr>
          <w:szCs w:val="22"/>
        </w:rPr>
      </w:pPr>
    </w:p>
    <w:p w:rsidR="003C032C" w:rsidRPr="004A2C73" w:rsidRDefault="003C032C" w:rsidP="003C032C">
      <w:pPr>
        <w:spacing w:line="276" w:lineRule="auto"/>
        <w:jc w:val="both"/>
      </w:pPr>
      <w:r w:rsidRPr="004A2C73">
        <w:t xml:space="preserve">Siç është shpjeguar në nënkapitullin 2, kuadri ligjor dhe institucional në fuqi që udhëheq përgatitjen e këtij </w:t>
      </w:r>
      <w:r w:rsidR="004039A4">
        <w:t>Plani Kombëtar Veprimi</w:t>
      </w:r>
      <w:r w:rsidRPr="004A2C73">
        <w:t>, përputhet plotësisht me dokumentat strategjikë në nivel kombëtar të miratuar nga Kuvendi dhe Këshilli i Ministrave, për rrjedhojë edhe vizioni, qëllimet strategjike dhe objektivat specifikë të parashikuar në “PKV LGBTI</w:t>
      </w:r>
      <w:r w:rsidR="004039A4">
        <w:t>+</w:t>
      </w:r>
      <w:r w:rsidRPr="004A2C73">
        <w:t xml:space="preserve"> 2021-2027” përputhen plotësisht me këta dokumenta strategjikë.</w:t>
      </w:r>
    </w:p>
    <w:p w:rsidR="003C032C" w:rsidRPr="004A2C73" w:rsidRDefault="003C032C" w:rsidP="003C032C">
      <w:pPr>
        <w:spacing w:line="276" w:lineRule="auto"/>
        <w:jc w:val="both"/>
      </w:pPr>
    </w:p>
    <w:p w:rsidR="008551B5" w:rsidRDefault="003C032C" w:rsidP="003C032C">
      <w:pPr>
        <w:spacing w:line="276" w:lineRule="auto"/>
        <w:jc w:val="both"/>
      </w:pPr>
      <w:r w:rsidRPr="004A2C73">
        <w:t xml:space="preserve">Nisma për hartimin e këtij dokumenti strategjik u ndërmor nga </w:t>
      </w:r>
      <w:r w:rsidR="004039A4">
        <w:t>institucioni</w:t>
      </w:r>
      <w:r w:rsidRPr="004A2C73">
        <w:t xml:space="preserve"> kryesor përgjegjës në nivel qendror</w:t>
      </w:r>
      <w:r w:rsidR="004039A4" w:rsidRPr="004039A4">
        <w:t xml:space="preserve"> </w:t>
      </w:r>
      <w:r w:rsidR="004039A4">
        <w:t>p</w:t>
      </w:r>
      <w:r w:rsidR="008551B5">
        <w:t>ë</w:t>
      </w:r>
      <w:r w:rsidR="004039A4">
        <w:t>r koordinimin e veprimeve dhe trajtimin e ç</w:t>
      </w:r>
      <w:r w:rsidR="008551B5">
        <w:t>ë</w:t>
      </w:r>
      <w:r w:rsidR="004039A4">
        <w:t>shtjeve LGBTI+</w:t>
      </w:r>
      <w:r w:rsidRPr="004A2C73">
        <w:t xml:space="preserve">, pra Ministria e Shëndetësisë dhe Mbrojtjes Sociale, e cila punoi ngushtësisht me Grupin Ndërinstitucional të Punës (GNP) të përbërë nga përfaqësuese dhe përfaqësues të ministrive kryesore të linjës. Mbështetja dhe orientimi bazuar tek </w:t>
      </w:r>
      <w:r w:rsidR="00E66607">
        <w:t>gjetjet apo rekomandimet e disa raporteve nd</w:t>
      </w:r>
      <w:r w:rsidR="008551B5">
        <w:t>ë</w:t>
      </w:r>
      <w:r w:rsidR="00E66607">
        <w:t>rkom</w:t>
      </w:r>
      <w:r w:rsidR="00FE0A6F">
        <w:t>b</w:t>
      </w:r>
      <w:r w:rsidR="008551B5">
        <w:t>ë</w:t>
      </w:r>
      <w:r w:rsidR="00E66607">
        <w:t>tare, t</w:t>
      </w:r>
      <w:r w:rsidR="008551B5">
        <w:t>ë</w:t>
      </w:r>
      <w:r w:rsidR="00E66607">
        <w:t xml:space="preserve"> tilla si: </w:t>
      </w:r>
      <w:r w:rsidR="00FE0A6F" w:rsidRPr="00FE0A6F">
        <w:t>Raporti i ILGA Evropë mbi Rishikimin Vjetor të Situatës së të Drejtave Njerëzore të LGBTI – kapitulli për Shqipërinë (2021),</w:t>
      </w:r>
      <w:r w:rsidR="00FE0A6F">
        <w:t xml:space="preserve"> Raporti i</w:t>
      </w:r>
      <w:r w:rsidR="00FE0A6F" w:rsidRPr="00FE0A6F">
        <w:t xml:space="preserve"> gjashtë </w:t>
      </w:r>
      <w:r w:rsidR="00FE0A6F">
        <w:t>i</w:t>
      </w:r>
      <w:r w:rsidR="00FE0A6F" w:rsidRPr="00FE0A6F">
        <w:t xml:space="preserve"> Komisionit Evropian kundër Racizmit dhe Intolerancës (ECRI) për Shqipërinë 2020</w:t>
      </w:r>
      <w:r w:rsidR="00FE0A6F">
        <w:t xml:space="preserve">, </w:t>
      </w:r>
      <w:r w:rsidR="00FE0A6F" w:rsidRPr="00FE0A6F">
        <w:t xml:space="preserve">Raporti </w:t>
      </w:r>
      <w:r w:rsidR="00FE0A6F" w:rsidRPr="00FE0A6F">
        <w:lastRenderedPageBreak/>
        <w:t>i Komisionit Evropian për Shqipërinë 2020</w:t>
      </w:r>
      <w:r w:rsidR="00FE0A6F">
        <w:t xml:space="preserve">, apo </w:t>
      </w:r>
      <w:r w:rsidR="00FE0A6F" w:rsidRPr="00FE0A6F">
        <w:t>Raporti i Rishikimit Universal Periodik për Shqipërinë 2019</w:t>
      </w:r>
      <w:r w:rsidR="00FE0A6F">
        <w:t>, ishin tep</w:t>
      </w:r>
      <w:r w:rsidR="00B14C07">
        <w:t>ë</w:t>
      </w:r>
      <w:r w:rsidR="00FE0A6F">
        <w:t xml:space="preserve">r ndihmuese. </w:t>
      </w:r>
      <w:r w:rsidR="00FA56A1">
        <w:t>Formulimi i objektivave, masave dhe veprimeve u bazua edhe n</w:t>
      </w:r>
      <w:r w:rsidR="00B14C07">
        <w:t>ë</w:t>
      </w:r>
      <w:r w:rsidR="00FA56A1">
        <w:t xml:space="preserve"> Strategjin</w:t>
      </w:r>
      <w:r w:rsidR="00B14C07">
        <w:t>ë</w:t>
      </w:r>
      <w:r w:rsidR="00FA56A1">
        <w:t xml:space="preserve"> e Komisionit Evropian “ Bashkimi i Barazis</w:t>
      </w:r>
      <w:r w:rsidR="00B14C07">
        <w:t>ë</w:t>
      </w:r>
      <w:r w:rsidR="00FA56A1">
        <w:t>:</w:t>
      </w:r>
      <w:r w:rsidR="00E559B0" w:rsidRPr="00E559B0">
        <w:t xml:space="preserve"> Strategjia e Barazisë për LGBTIQ 2020-2025”</w:t>
      </w:r>
      <w:r w:rsidR="00E559B0">
        <w:t>, si dhe n</w:t>
      </w:r>
      <w:r w:rsidR="00B14C07">
        <w:t>ë</w:t>
      </w:r>
      <w:r w:rsidR="00E559B0">
        <w:t xml:space="preserve"> R</w:t>
      </w:r>
      <w:r w:rsidRPr="004A2C73">
        <w:t>aporti</w:t>
      </w:r>
      <w:r w:rsidR="00E559B0">
        <w:t>n e</w:t>
      </w:r>
      <w:r w:rsidRPr="004A2C73">
        <w:t xml:space="preserve"> vlerësimit të zbatimit të “PKV LGBTI</w:t>
      </w:r>
      <w:r w:rsidR="004039A4">
        <w:t>+</w:t>
      </w:r>
      <w:r w:rsidRPr="004A2C73">
        <w:t xml:space="preserve"> 2016 – 2020”. </w:t>
      </w:r>
    </w:p>
    <w:p w:rsidR="008551B5" w:rsidRDefault="008551B5" w:rsidP="003C032C">
      <w:pPr>
        <w:spacing w:line="276" w:lineRule="auto"/>
        <w:jc w:val="both"/>
      </w:pPr>
    </w:p>
    <w:p w:rsidR="003C032C" w:rsidRPr="004A2C73" w:rsidRDefault="003C032C" w:rsidP="003C032C">
      <w:pPr>
        <w:spacing w:line="276" w:lineRule="auto"/>
        <w:jc w:val="both"/>
      </w:pPr>
      <w:r w:rsidRPr="004A2C73">
        <w:t>Gjithashtu vlen të përmendet mbështetja e ofruar nga K</w:t>
      </w:r>
      <w:r w:rsidR="008551B5">
        <w:t>ëshilli i Ev</w:t>
      </w:r>
      <w:r w:rsidRPr="00776018">
        <w:t xml:space="preserve">ropës </w:t>
      </w:r>
      <w:r w:rsidRPr="004A2C73">
        <w:t>përmes një grupi ekspertesh</w:t>
      </w:r>
      <w:r w:rsidRPr="004A2C73">
        <w:rPr>
          <w:rStyle w:val="FootnoteReference"/>
        </w:rPr>
        <w:footnoteReference w:id="18"/>
      </w:r>
      <w:r w:rsidRPr="004A2C73">
        <w:t xml:space="preserve"> të cilat lehtësuan punën e GNP në përgatitjen e këtij dokumenti strategjik, </w:t>
      </w:r>
      <w:r w:rsidR="00E559B0">
        <w:t>si dhe mb</w:t>
      </w:r>
      <w:r w:rsidR="00B14C07">
        <w:t>ë</w:t>
      </w:r>
      <w:r w:rsidR="00E559B0">
        <w:t>shtetja e veçant</w:t>
      </w:r>
      <w:r w:rsidR="00B14C07">
        <w:t>ë</w:t>
      </w:r>
      <w:r w:rsidR="00E559B0">
        <w:t xml:space="preserve"> dhe asistenca teknike e ofruar nga UN </w:t>
      </w:r>
      <w:r w:rsidR="008551B5">
        <w:t>W</w:t>
      </w:r>
      <w:r w:rsidR="00E559B0">
        <w:t>omen Shqip</w:t>
      </w:r>
      <w:r w:rsidR="00B14C07">
        <w:t>ë</w:t>
      </w:r>
      <w:r w:rsidR="00E559B0">
        <w:t>ri p</w:t>
      </w:r>
      <w:r w:rsidR="00B14C07">
        <w:t>ë</w:t>
      </w:r>
      <w:r w:rsidR="00E559B0">
        <w:t>r rishikimin e plot</w:t>
      </w:r>
      <w:r w:rsidR="00B14C07">
        <w:t>ë</w:t>
      </w:r>
      <w:r w:rsidR="00E559B0">
        <w:t xml:space="preserve"> dhe p</w:t>
      </w:r>
      <w:r w:rsidR="00B14C07">
        <w:t>ë</w:t>
      </w:r>
      <w:r w:rsidR="00E559B0">
        <w:t>rgatitjen e variantit p</w:t>
      </w:r>
      <w:r w:rsidR="00B14C07">
        <w:t>ë</w:t>
      </w:r>
      <w:r w:rsidR="00E559B0">
        <w:t>rfundimtar t</w:t>
      </w:r>
      <w:r w:rsidR="00B14C07">
        <w:t>ë</w:t>
      </w:r>
      <w:r w:rsidR="00E559B0">
        <w:t xml:space="preserve"> “PKV LGBTI+</w:t>
      </w:r>
      <w:r w:rsidR="008551B5">
        <w:t xml:space="preserve"> </w:t>
      </w:r>
      <w:r w:rsidR="00E559B0">
        <w:t>2021 – 2027”</w:t>
      </w:r>
      <w:r w:rsidR="00E559B0">
        <w:rPr>
          <w:rStyle w:val="FootnoteReference"/>
        </w:rPr>
        <w:footnoteReference w:id="19"/>
      </w:r>
      <w:r w:rsidRPr="004A2C73">
        <w:t>.</w:t>
      </w:r>
    </w:p>
    <w:p w:rsidR="003C032C" w:rsidRPr="004A2C73" w:rsidRDefault="003C032C" w:rsidP="003C032C">
      <w:pPr>
        <w:spacing w:line="276" w:lineRule="auto"/>
        <w:jc w:val="both"/>
      </w:pPr>
    </w:p>
    <w:p w:rsidR="003C032C" w:rsidRPr="004A2C73" w:rsidRDefault="003C032C" w:rsidP="003C032C">
      <w:pPr>
        <w:spacing w:line="276" w:lineRule="auto"/>
        <w:jc w:val="both"/>
      </w:pPr>
      <w:r w:rsidRPr="004A2C73">
        <w:t xml:space="preserve">Gjatë punës për përgatitjen e </w:t>
      </w:r>
      <w:r w:rsidR="00B73A44">
        <w:t xml:space="preserve">Planit Kombëtar të Veprimit </w:t>
      </w:r>
      <w:r w:rsidRPr="004A2C73">
        <w:t>janë realizuar një sërë konsultimesh me aktorë dhe bashkëpunëtorë të rëndësishëm në nivel qendror dhe të vetëqeverisjes vendore</w:t>
      </w:r>
      <w:r w:rsidR="00B73A44">
        <w:t>, ku rol të rëndësishëm kanë luajtur komentet dhe sugjerimet e përcjella nga</w:t>
      </w:r>
      <w:r w:rsidRPr="004A2C73">
        <w:t xml:space="preserve"> </w:t>
      </w:r>
      <w:r w:rsidR="00B73A44">
        <w:t xml:space="preserve">ministritë e linjës, </w:t>
      </w:r>
      <w:r w:rsidRPr="004A2C73">
        <w:t>institucionet e pavarura, organizatat e shoqërisë civile,</w:t>
      </w:r>
      <w:r w:rsidR="00B73A44">
        <w:t xml:space="preserve"> sidomos ato të specializuara në çështjet LGBTI+, organizatat ndërkombëtare, etj. </w:t>
      </w:r>
    </w:p>
    <w:p w:rsidR="003C032C" w:rsidRPr="004A2C73" w:rsidRDefault="003C032C" w:rsidP="003C032C">
      <w:pPr>
        <w:spacing w:line="276" w:lineRule="auto"/>
        <w:jc w:val="both"/>
      </w:pPr>
    </w:p>
    <w:p w:rsidR="003C032C" w:rsidRPr="004A2C73" w:rsidRDefault="003C032C" w:rsidP="003C032C">
      <w:pPr>
        <w:spacing w:line="276" w:lineRule="auto"/>
        <w:jc w:val="both"/>
      </w:pPr>
      <w:r w:rsidRPr="004A2C73">
        <w:t>Gjithashtu</w:t>
      </w:r>
      <w:r w:rsidR="00DA312D">
        <w:t>,</w:t>
      </w:r>
      <w:r w:rsidRPr="004A2C73">
        <w:t xml:space="preserve"> ky dokument është publikuar për konsultim publik në datën </w:t>
      </w:r>
      <w:r w:rsidR="00B81F07">
        <w:rPr>
          <w:b/>
          <w:bCs/>
          <w:highlight w:val="yellow"/>
        </w:rPr>
        <w:t>xx</w:t>
      </w:r>
      <w:r w:rsidRPr="004A2C73">
        <w:rPr>
          <w:b/>
          <w:bCs/>
          <w:highlight w:val="yellow"/>
        </w:rPr>
        <w:t xml:space="preserve"> gusht 2021</w:t>
      </w:r>
      <w:r w:rsidRPr="004A2C73">
        <w:rPr>
          <w:highlight w:val="yellow"/>
        </w:rPr>
        <w:t xml:space="preserve"> në adresën</w:t>
      </w:r>
      <w:r w:rsidR="00B73A44">
        <w:t xml:space="preserve"> xxxx</w:t>
      </w:r>
      <w:r w:rsidR="006B3F39">
        <w:t>.</w:t>
      </w:r>
    </w:p>
    <w:p w:rsidR="003C032C" w:rsidRPr="001B1D14" w:rsidRDefault="003C032C" w:rsidP="003C032C">
      <w:pPr>
        <w:spacing w:line="276" w:lineRule="auto"/>
        <w:jc w:val="both"/>
        <w:rPr>
          <w:szCs w:val="22"/>
        </w:rPr>
      </w:pPr>
    </w:p>
    <w:p w:rsidR="00A13FB5" w:rsidRPr="00F8199B" w:rsidRDefault="00A13FB5" w:rsidP="00F8199B">
      <w:pPr>
        <w:pStyle w:val="Heading1"/>
        <w:shd w:val="clear" w:color="auto" w:fill="99FFCC"/>
        <w:spacing w:before="0" w:after="0" w:line="276" w:lineRule="auto"/>
        <w:jc w:val="center"/>
        <w:rPr>
          <w:rFonts w:ascii="Times New Roman" w:hAnsi="Times New Roman"/>
          <w:color w:val="FF00FF"/>
          <w:sz w:val="28"/>
          <w:szCs w:val="28"/>
        </w:rPr>
      </w:pPr>
      <w:bookmarkStart w:id="23" w:name="_Toc79509625"/>
      <w:r w:rsidRPr="00C70695">
        <w:rPr>
          <w:rFonts w:ascii="Times New Roman" w:hAnsi="Times New Roman"/>
          <w:color w:val="FF00FF"/>
          <w:sz w:val="28"/>
          <w:szCs w:val="28"/>
          <w:shd w:val="clear" w:color="auto" w:fill="99FFCC"/>
        </w:rPr>
        <w:t>PJESA II – QËLLIM</w:t>
      </w:r>
      <w:r w:rsidR="00670BDD" w:rsidRPr="00C70695">
        <w:rPr>
          <w:rFonts w:ascii="Times New Roman" w:hAnsi="Times New Roman"/>
          <w:color w:val="FF00FF"/>
          <w:sz w:val="28"/>
          <w:szCs w:val="28"/>
          <w:shd w:val="clear" w:color="auto" w:fill="99FFCC"/>
        </w:rPr>
        <w:t>ET</w:t>
      </w:r>
      <w:r w:rsidR="00296C4D" w:rsidRPr="00C70695">
        <w:rPr>
          <w:rFonts w:ascii="Times New Roman" w:hAnsi="Times New Roman"/>
          <w:color w:val="FF00FF"/>
          <w:sz w:val="28"/>
          <w:szCs w:val="28"/>
          <w:shd w:val="clear" w:color="auto" w:fill="99FFCC"/>
        </w:rPr>
        <w:t xml:space="preserve"> </w:t>
      </w:r>
      <w:r w:rsidR="00670BDD" w:rsidRPr="00C70695">
        <w:rPr>
          <w:rFonts w:ascii="Times New Roman" w:hAnsi="Times New Roman"/>
          <w:color w:val="FF00FF"/>
          <w:sz w:val="28"/>
          <w:szCs w:val="28"/>
          <w:shd w:val="clear" w:color="auto" w:fill="99FFCC"/>
        </w:rPr>
        <w:t>STRATEGJIK</w:t>
      </w:r>
      <w:r w:rsidR="00A80261" w:rsidRPr="00C70695">
        <w:rPr>
          <w:rFonts w:ascii="Times New Roman" w:hAnsi="Times New Roman"/>
          <w:color w:val="FF00FF"/>
          <w:sz w:val="28"/>
          <w:szCs w:val="28"/>
          <w:shd w:val="clear" w:color="auto" w:fill="99FFCC"/>
        </w:rPr>
        <w:t>E</w:t>
      </w:r>
      <w:r w:rsidR="008303FA" w:rsidRPr="00C70695">
        <w:rPr>
          <w:rFonts w:ascii="Times New Roman" w:hAnsi="Times New Roman"/>
          <w:color w:val="FF00FF"/>
          <w:sz w:val="28"/>
          <w:szCs w:val="28"/>
          <w:shd w:val="clear" w:color="auto" w:fill="99FFCC"/>
        </w:rPr>
        <w:t xml:space="preserve">, </w:t>
      </w:r>
      <w:r w:rsidRPr="00C70695">
        <w:rPr>
          <w:rFonts w:ascii="Times New Roman" w:hAnsi="Times New Roman"/>
          <w:color w:val="FF00FF"/>
          <w:sz w:val="28"/>
          <w:szCs w:val="28"/>
          <w:shd w:val="clear" w:color="auto" w:fill="99FFCC"/>
        </w:rPr>
        <w:t>OBJEKTIVA</w:t>
      </w:r>
      <w:r w:rsidR="00296C4D" w:rsidRPr="00C70695">
        <w:rPr>
          <w:rFonts w:ascii="Times New Roman" w:hAnsi="Times New Roman"/>
          <w:color w:val="FF00FF"/>
          <w:sz w:val="28"/>
          <w:szCs w:val="28"/>
          <w:shd w:val="clear" w:color="auto" w:fill="99FFCC"/>
        </w:rPr>
        <w:t xml:space="preserve">T </w:t>
      </w:r>
      <w:r w:rsidRPr="00C70695">
        <w:rPr>
          <w:rFonts w:ascii="Times New Roman" w:hAnsi="Times New Roman"/>
          <w:color w:val="FF00FF"/>
          <w:sz w:val="28"/>
          <w:szCs w:val="28"/>
          <w:shd w:val="clear" w:color="auto" w:fill="99FFCC"/>
        </w:rPr>
        <w:t>SPECIFIKË</w:t>
      </w:r>
      <w:r w:rsidR="008303FA" w:rsidRPr="00F8199B">
        <w:rPr>
          <w:rFonts w:ascii="Times New Roman" w:hAnsi="Times New Roman"/>
          <w:color w:val="FF00FF"/>
          <w:sz w:val="28"/>
          <w:szCs w:val="28"/>
          <w:shd w:val="clear" w:color="auto" w:fill="FABF8F" w:themeFill="accent6" w:themeFillTint="99"/>
        </w:rPr>
        <w:t xml:space="preserve"> </w:t>
      </w:r>
      <w:r w:rsidR="008303FA" w:rsidRPr="00C70695">
        <w:rPr>
          <w:rFonts w:ascii="Times New Roman" w:hAnsi="Times New Roman"/>
          <w:color w:val="FF00FF"/>
          <w:sz w:val="28"/>
          <w:szCs w:val="28"/>
          <w:shd w:val="clear" w:color="auto" w:fill="99FFCC"/>
        </w:rPr>
        <w:t xml:space="preserve">DHE MASAT PRIORITARE TË ZBATIMIT TË </w:t>
      </w:r>
      <w:r w:rsidR="00457467" w:rsidRPr="00C70695">
        <w:rPr>
          <w:rFonts w:ascii="Times New Roman" w:hAnsi="Times New Roman"/>
          <w:color w:val="FF00FF"/>
          <w:sz w:val="28"/>
          <w:szCs w:val="28"/>
          <w:shd w:val="clear" w:color="auto" w:fill="99FFCC"/>
        </w:rPr>
        <w:t>P</w:t>
      </w:r>
      <w:r w:rsidR="006F04D1" w:rsidRPr="00C70695">
        <w:rPr>
          <w:rFonts w:ascii="Times New Roman" w:hAnsi="Times New Roman"/>
          <w:color w:val="FF00FF"/>
          <w:sz w:val="28"/>
          <w:szCs w:val="28"/>
          <w:shd w:val="clear" w:color="auto" w:fill="99FFCC"/>
        </w:rPr>
        <w:t>KV</w:t>
      </w:r>
      <w:bookmarkEnd w:id="23"/>
    </w:p>
    <w:p w:rsidR="0062363D" w:rsidRPr="001B1D14" w:rsidRDefault="0062363D" w:rsidP="00305D21">
      <w:pPr>
        <w:pStyle w:val="ListParagraph"/>
        <w:spacing w:line="276" w:lineRule="auto"/>
        <w:ind w:left="0"/>
        <w:jc w:val="both"/>
      </w:pPr>
    </w:p>
    <w:p w:rsidR="00734698" w:rsidRDefault="00A80261" w:rsidP="00BF02E2">
      <w:pPr>
        <w:spacing w:line="276" w:lineRule="auto"/>
        <w:jc w:val="both"/>
      </w:pPr>
      <w:bookmarkStart w:id="24" w:name="_Hlk78299490"/>
      <w:r>
        <w:t>“</w:t>
      </w:r>
      <w:r w:rsidR="00336661" w:rsidRPr="007746E1">
        <w:t xml:space="preserve">PKV </w:t>
      </w:r>
      <w:r w:rsidR="0029487E">
        <w:t>LGBTI</w:t>
      </w:r>
      <w:r>
        <w:t>+</w:t>
      </w:r>
      <w:r w:rsidR="005A610F" w:rsidRPr="007746E1">
        <w:t xml:space="preserve"> 2021</w:t>
      </w:r>
      <w:r w:rsidR="006F04D1" w:rsidRPr="007746E1">
        <w:t>-</w:t>
      </w:r>
      <w:r w:rsidR="005A610F" w:rsidRPr="007746E1">
        <w:t>20</w:t>
      </w:r>
      <w:r w:rsidR="00336661" w:rsidRPr="007746E1">
        <w:t>27</w:t>
      </w:r>
      <w:r>
        <w:t>”</w:t>
      </w:r>
      <w:r w:rsidR="005A610F" w:rsidRPr="007746E1">
        <w:t xml:space="preserve"> përbëhet nga </w:t>
      </w:r>
      <w:r w:rsidR="009C7286">
        <w:t>3</w:t>
      </w:r>
      <w:r w:rsidR="00314849">
        <w:t xml:space="preserve"> (</w:t>
      </w:r>
      <w:r w:rsidR="009C7286">
        <w:t>tre</w:t>
      </w:r>
      <w:r w:rsidR="00314849">
        <w:t>)</w:t>
      </w:r>
      <w:r w:rsidR="005A610F" w:rsidRPr="007746E1">
        <w:t xml:space="preserve"> </w:t>
      </w:r>
      <w:r w:rsidR="0024333A" w:rsidRPr="008B434D">
        <w:t>Q</w:t>
      </w:r>
      <w:r w:rsidR="00614BDE" w:rsidRPr="008B434D">
        <w:t xml:space="preserve">ëllime </w:t>
      </w:r>
      <w:r w:rsidR="0024333A" w:rsidRPr="008B434D">
        <w:t>S</w:t>
      </w:r>
      <w:r w:rsidR="00614BDE" w:rsidRPr="008B434D">
        <w:t>trategjike</w:t>
      </w:r>
      <w:r w:rsidR="00296C4D" w:rsidRPr="00314849">
        <w:t>:</w:t>
      </w:r>
    </w:p>
    <w:p w:rsidR="00DB50E6" w:rsidRPr="007746E1" w:rsidRDefault="00DB50E6" w:rsidP="00BF02E2">
      <w:pPr>
        <w:spacing w:line="276" w:lineRule="auto"/>
        <w:jc w:val="both"/>
      </w:pPr>
    </w:p>
    <w:p w:rsidR="00D15BD0" w:rsidRPr="00BE000A" w:rsidRDefault="00557728" w:rsidP="00BB57FF">
      <w:pPr>
        <w:pStyle w:val="ListParagraph"/>
        <w:numPr>
          <w:ilvl w:val="0"/>
          <w:numId w:val="1"/>
        </w:numPr>
        <w:spacing w:line="276" w:lineRule="auto"/>
        <w:jc w:val="both"/>
      </w:pPr>
      <w:bookmarkStart w:id="25" w:name="_Hlk78529374"/>
      <w:bookmarkStart w:id="26" w:name="_Hlk78529347"/>
      <w:r w:rsidRPr="00557728">
        <w:rPr>
          <w:bCs/>
        </w:rPr>
        <w:t>Përmirësimi i aksesit të personave LGBTI+ në shërbime publike dhe shërbime mbështetëse të specializuara efektive, cilësore dhe të disponueshme në mbarë vendin, në përputhje me nevojat specfike të tyre dhe me standarde kombëtare të harmonizuara me ato evropiane/ndërkombëtare.</w:t>
      </w:r>
      <w:bookmarkEnd w:id="25"/>
      <w:bookmarkEnd w:id="26"/>
    </w:p>
    <w:p w:rsidR="000C0D63" w:rsidRPr="00BE000A" w:rsidRDefault="00557728" w:rsidP="00557728">
      <w:pPr>
        <w:pStyle w:val="ListParagraph"/>
        <w:numPr>
          <w:ilvl w:val="0"/>
          <w:numId w:val="1"/>
        </w:numPr>
        <w:spacing w:line="276" w:lineRule="auto"/>
        <w:jc w:val="both"/>
        <w:rPr>
          <w:bCs/>
        </w:rPr>
      </w:pPr>
      <w:bookmarkStart w:id="27" w:name="_Hlk78531275"/>
      <w:r w:rsidRPr="00557728">
        <w:rPr>
          <w:bCs/>
        </w:rPr>
        <w:t>Garantimi i mbrojtjes dhe sigurisë për personat LGBTI+ përmes përmirësimit të kuadrit ligjor, zbatimit efektiv të tij, si dhe rritjes së aksesit të personave LGBTI+ në sistemin e drejtësisë</w:t>
      </w:r>
      <w:r>
        <w:rPr>
          <w:bCs/>
        </w:rPr>
        <w:t>.</w:t>
      </w:r>
    </w:p>
    <w:p w:rsidR="00F56BE3" w:rsidRDefault="00557728" w:rsidP="00BE000A">
      <w:pPr>
        <w:pStyle w:val="ListParagraph"/>
        <w:numPr>
          <w:ilvl w:val="0"/>
          <w:numId w:val="1"/>
        </w:numPr>
        <w:spacing w:line="276" w:lineRule="auto"/>
        <w:jc w:val="both"/>
      </w:pPr>
      <w:bookmarkStart w:id="28" w:name="_Hlk78534157"/>
      <w:bookmarkEnd w:id="27"/>
      <w:r w:rsidRPr="000C0D63">
        <w:rPr>
          <w:bCs/>
        </w:rPr>
        <w:t>Krijimi i një shoqërie gjithëpërfshirëse, pranuese dhe jo-diskriminuese kundrejt personave LGBTI+ në Shqipëri</w:t>
      </w:r>
      <w:r w:rsidR="00C64765" w:rsidRPr="00561B85">
        <w:rPr>
          <w:bCs/>
        </w:rPr>
        <w:t xml:space="preserve"> </w:t>
      </w:r>
      <w:bookmarkEnd w:id="28"/>
    </w:p>
    <w:p w:rsidR="00C64765" w:rsidRPr="00D83435" w:rsidRDefault="00C64765" w:rsidP="00BE000A">
      <w:pPr>
        <w:spacing w:line="276" w:lineRule="auto"/>
        <w:jc w:val="both"/>
      </w:pPr>
    </w:p>
    <w:p w:rsidR="007354EE" w:rsidRPr="001B1D14" w:rsidRDefault="00130050" w:rsidP="00BF02E2">
      <w:pPr>
        <w:pStyle w:val="ListParagraph"/>
        <w:spacing w:line="276" w:lineRule="auto"/>
        <w:ind w:left="0"/>
        <w:contextualSpacing w:val="0"/>
        <w:jc w:val="both"/>
      </w:pPr>
      <w:r w:rsidRPr="007746E1">
        <w:t xml:space="preserve">Arritja e këtyre qëllimeve </w:t>
      </w:r>
      <w:r w:rsidR="005B596A">
        <w:t xml:space="preserve">strategjike </w:t>
      </w:r>
      <w:r w:rsidRPr="007746E1">
        <w:t xml:space="preserve">kërkon </w:t>
      </w:r>
      <w:r w:rsidR="00AA473E" w:rsidRPr="007746E1">
        <w:t>p</w:t>
      </w:r>
      <w:r w:rsidR="0021077F" w:rsidRPr="007746E1">
        <w:t>ë</w:t>
      </w:r>
      <w:r w:rsidR="00AA473E" w:rsidRPr="007746E1">
        <w:t>rpjekje t</w:t>
      </w:r>
      <w:r w:rsidR="0021077F" w:rsidRPr="007746E1">
        <w:t xml:space="preserve">ë </w:t>
      </w:r>
      <w:r w:rsidR="00AA473E" w:rsidRPr="007746E1">
        <w:t>gjithanshme nga t</w:t>
      </w:r>
      <w:r w:rsidR="0021077F" w:rsidRPr="007746E1">
        <w:t xml:space="preserve">ë </w:t>
      </w:r>
      <w:r w:rsidR="00AA473E" w:rsidRPr="007746E1">
        <w:t>gjitha ministrit</w:t>
      </w:r>
      <w:r w:rsidR="0021077F" w:rsidRPr="007746E1">
        <w:t>ë</w:t>
      </w:r>
      <w:r w:rsidR="00C64765">
        <w:t xml:space="preserve"> e linj</w:t>
      </w:r>
      <w:r w:rsidR="008551B5">
        <w:t>ë</w:t>
      </w:r>
      <w:r w:rsidR="00C64765">
        <w:t>s</w:t>
      </w:r>
      <w:r w:rsidR="00850E44" w:rsidRPr="007746E1">
        <w:t xml:space="preserve">, </w:t>
      </w:r>
      <w:r w:rsidR="00AA473E" w:rsidRPr="007746E1">
        <w:t>institucionet</w:t>
      </w:r>
      <w:r w:rsidR="00850E44" w:rsidRPr="007746E1">
        <w:t xml:space="preserve"> </w:t>
      </w:r>
      <w:r w:rsidR="00C64765">
        <w:t xml:space="preserve">publike </w:t>
      </w:r>
      <w:r w:rsidR="00850E44" w:rsidRPr="007746E1">
        <w:t>q</w:t>
      </w:r>
      <w:r w:rsidR="00C64765">
        <w:t>e</w:t>
      </w:r>
      <w:r w:rsidR="00850E44" w:rsidRPr="007746E1">
        <w:t>ndrore</w:t>
      </w:r>
      <w:r w:rsidR="00775DB0">
        <w:t>, n</w:t>
      </w:r>
      <w:r w:rsidR="00775DB0" w:rsidRPr="007746E1">
        <w:t>ë</w:t>
      </w:r>
      <w:r w:rsidR="00775DB0">
        <w:t xml:space="preserve"> nivel qarku </w:t>
      </w:r>
      <w:r w:rsidR="00850E44" w:rsidRPr="007746E1">
        <w:t>e vendor</w:t>
      </w:r>
      <w:r w:rsidR="00C64765">
        <w:t>e</w:t>
      </w:r>
      <w:r w:rsidR="00850E44" w:rsidRPr="007746E1">
        <w:t xml:space="preserve">, njësitë e vetëqeverisjes </w:t>
      </w:r>
      <w:r w:rsidR="00850E44" w:rsidRPr="007746E1">
        <w:lastRenderedPageBreak/>
        <w:t>vendore, institucionet e pavarura, organizatat e shoqërisë civile</w:t>
      </w:r>
      <w:r w:rsidR="00FA71E4">
        <w:t xml:space="preserve"> sidomos ato t</w:t>
      </w:r>
      <w:r w:rsidR="008551B5">
        <w:t>ë</w:t>
      </w:r>
      <w:r w:rsidR="00FA71E4">
        <w:t xml:space="preserve"> specializuara n</w:t>
      </w:r>
      <w:r w:rsidR="008551B5">
        <w:t>ë</w:t>
      </w:r>
      <w:r w:rsidR="00FA71E4">
        <w:t xml:space="preserve"> ç</w:t>
      </w:r>
      <w:r w:rsidR="008551B5">
        <w:t>ë</w:t>
      </w:r>
      <w:r w:rsidR="00FA71E4">
        <w:t>shtjet LGBTI+</w:t>
      </w:r>
      <w:r w:rsidR="00850E44" w:rsidRPr="007746E1">
        <w:t>, organizatat ndërkombëtare, medias, akademisë</w:t>
      </w:r>
      <w:r w:rsidR="006F04D1" w:rsidRPr="007746E1">
        <w:t>,</w:t>
      </w:r>
      <w:r w:rsidR="00850E44" w:rsidRPr="007746E1">
        <w:t xml:space="preserve"> si dhe të të gjithë aktorëve të tjerë</w:t>
      </w:r>
      <w:r w:rsidR="00AA473E" w:rsidRPr="007746E1">
        <w:t xml:space="preserve"> q</w:t>
      </w:r>
      <w:r w:rsidR="0021077F" w:rsidRPr="007746E1">
        <w:t xml:space="preserve">ë </w:t>
      </w:r>
      <w:r w:rsidR="00AA473E" w:rsidRPr="007746E1">
        <w:t>zbatojn</w:t>
      </w:r>
      <w:r w:rsidR="0021077F" w:rsidRPr="007746E1">
        <w:t xml:space="preserve">ë </w:t>
      </w:r>
      <w:r w:rsidR="00AA473E" w:rsidRPr="007746E1">
        <w:t xml:space="preserve">politika </w:t>
      </w:r>
      <w:r w:rsidR="006C5340" w:rsidRPr="007746E1">
        <w:t>t</w:t>
      </w:r>
      <w:r w:rsidR="0021077F" w:rsidRPr="007746E1">
        <w:t xml:space="preserve">ë </w:t>
      </w:r>
      <w:r w:rsidR="006C5340" w:rsidRPr="007746E1">
        <w:t xml:space="preserve">cilat </w:t>
      </w:r>
      <w:r w:rsidR="00AA473E" w:rsidRPr="007746E1">
        <w:t>ndikojn</w:t>
      </w:r>
      <w:r w:rsidR="0021077F" w:rsidRPr="007746E1">
        <w:t xml:space="preserve">ë </w:t>
      </w:r>
      <w:r w:rsidR="00AA473E" w:rsidRPr="007746E1">
        <w:t>n</w:t>
      </w:r>
      <w:r w:rsidR="0021077F" w:rsidRPr="007746E1">
        <w:t xml:space="preserve">ë </w:t>
      </w:r>
      <w:r w:rsidR="00AA473E" w:rsidRPr="007746E1">
        <w:t>m</w:t>
      </w:r>
      <w:r w:rsidR="0021077F" w:rsidRPr="007746E1">
        <w:t>ë</w:t>
      </w:r>
      <w:r w:rsidR="00AA473E" w:rsidRPr="007746E1">
        <w:t>nyr</w:t>
      </w:r>
      <w:r w:rsidR="0021077F" w:rsidRPr="007746E1">
        <w:t xml:space="preserve">ë </w:t>
      </w:r>
      <w:r w:rsidR="00AA473E" w:rsidRPr="007746E1">
        <w:t>t</w:t>
      </w:r>
      <w:r w:rsidR="0021077F" w:rsidRPr="007746E1">
        <w:t xml:space="preserve">ë </w:t>
      </w:r>
      <w:r w:rsidR="00AA473E" w:rsidRPr="007746E1">
        <w:t>drejtp</w:t>
      </w:r>
      <w:r w:rsidR="0021077F" w:rsidRPr="007746E1">
        <w:t>ë</w:t>
      </w:r>
      <w:r w:rsidR="00AA473E" w:rsidRPr="007746E1">
        <w:t>rdrejt</w:t>
      </w:r>
      <w:r w:rsidR="0021077F" w:rsidRPr="007746E1">
        <w:t xml:space="preserve">ë </w:t>
      </w:r>
      <w:r w:rsidR="00AA473E" w:rsidRPr="007746E1">
        <w:t>n</w:t>
      </w:r>
      <w:r w:rsidR="0021077F" w:rsidRPr="007746E1">
        <w:t xml:space="preserve">ë </w:t>
      </w:r>
      <w:r w:rsidR="00390B2A" w:rsidRPr="007746E1">
        <w:t xml:space="preserve">garantimin e të drejtave të personave </w:t>
      </w:r>
      <w:r w:rsidR="00466064">
        <w:t>LGBTI</w:t>
      </w:r>
      <w:r w:rsidR="00FA71E4">
        <w:t>+</w:t>
      </w:r>
      <w:r w:rsidR="00390B2A" w:rsidRPr="007746E1">
        <w:t xml:space="preserve">. </w:t>
      </w:r>
      <w:r w:rsidR="00873E8A" w:rsidRPr="007746E1">
        <w:t>Nj</w:t>
      </w:r>
      <w:r w:rsidR="0021077F" w:rsidRPr="007746E1">
        <w:t xml:space="preserve">ë </w:t>
      </w:r>
      <w:r w:rsidR="00873E8A" w:rsidRPr="007746E1">
        <w:t>nevoj</w:t>
      </w:r>
      <w:r w:rsidR="0021077F" w:rsidRPr="007746E1">
        <w:t xml:space="preserve">ë </w:t>
      </w:r>
      <w:r w:rsidR="00873E8A" w:rsidRPr="007746E1">
        <w:t xml:space="preserve">e domosdoshme dhe e vazhdueshme </w:t>
      </w:r>
      <w:r w:rsidR="0021077F" w:rsidRPr="007746E1">
        <w:t>ë</w:t>
      </w:r>
      <w:r w:rsidR="00873E8A" w:rsidRPr="007746E1">
        <w:t>sht</w:t>
      </w:r>
      <w:r w:rsidR="0021077F" w:rsidRPr="007746E1">
        <w:t xml:space="preserve">ë </w:t>
      </w:r>
      <w:r w:rsidR="00873E8A" w:rsidRPr="007746E1">
        <w:t>gjetja e mekanizmave t</w:t>
      </w:r>
      <w:r w:rsidR="0021077F" w:rsidRPr="007746E1">
        <w:t>ë</w:t>
      </w:r>
      <w:r w:rsidR="00873E8A" w:rsidRPr="007746E1">
        <w:t xml:space="preserve"> duhur dhe t</w:t>
      </w:r>
      <w:r w:rsidR="0021077F" w:rsidRPr="007746E1">
        <w:t xml:space="preserve">ë </w:t>
      </w:r>
      <w:r w:rsidR="00873E8A" w:rsidRPr="007746E1">
        <w:t>p</w:t>
      </w:r>
      <w:r w:rsidR="0021077F" w:rsidRPr="007746E1">
        <w:t>ë</w:t>
      </w:r>
      <w:r w:rsidR="00873E8A" w:rsidRPr="007746E1">
        <w:t>rshtatsh</w:t>
      </w:r>
      <w:r w:rsidR="0021077F" w:rsidRPr="007746E1">
        <w:t>ë</w:t>
      </w:r>
      <w:r w:rsidR="00873E8A" w:rsidRPr="007746E1">
        <w:t>m q</w:t>
      </w:r>
      <w:r w:rsidR="0021077F" w:rsidRPr="007746E1">
        <w:t xml:space="preserve">ë </w:t>
      </w:r>
      <w:r w:rsidR="00873E8A" w:rsidRPr="007746E1">
        <w:t>sigurojn</w:t>
      </w:r>
      <w:r w:rsidR="0021077F" w:rsidRPr="007746E1">
        <w:t xml:space="preserve">ë </w:t>
      </w:r>
      <w:r w:rsidR="00873E8A" w:rsidRPr="007746E1">
        <w:t>nj</w:t>
      </w:r>
      <w:r w:rsidR="0021077F" w:rsidRPr="007746E1">
        <w:t xml:space="preserve">ë </w:t>
      </w:r>
      <w:r w:rsidR="00873E8A" w:rsidRPr="007746E1">
        <w:t>bashk</w:t>
      </w:r>
      <w:r w:rsidR="0021077F" w:rsidRPr="007746E1">
        <w:t>ë</w:t>
      </w:r>
      <w:r w:rsidR="00873E8A" w:rsidRPr="007746E1">
        <w:t>punim t</w:t>
      </w:r>
      <w:r w:rsidR="0021077F" w:rsidRPr="007746E1">
        <w:t xml:space="preserve">ë </w:t>
      </w:r>
      <w:r w:rsidR="00873E8A" w:rsidRPr="007746E1">
        <w:t>fort</w:t>
      </w:r>
      <w:r w:rsidR="0021077F" w:rsidRPr="007746E1">
        <w:t xml:space="preserve">ë </w:t>
      </w:r>
      <w:r w:rsidR="00873E8A" w:rsidRPr="007746E1">
        <w:t>dhe efektiv nd</w:t>
      </w:r>
      <w:r w:rsidR="0021077F" w:rsidRPr="007746E1">
        <w:t>ë</w:t>
      </w:r>
      <w:r w:rsidR="00873E8A" w:rsidRPr="007746E1">
        <w:t>rinstitucional</w:t>
      </w:r>
      <w:r w:rsidR="00A93781">
        <w:t>,</w:t>
      </w:r>
      <w:r w:rsidR="00873E8A" w:rsidRPr="007746E1">
        <w:t xml:space="preserve"> si n</w:t>
      </w:r>
      <w:r w:rsidR="0021077F" w:rsidRPr="007746E1">
        <w:t xml:space="preserve">ë </w:t>
      </w:r>
      <w:r w:rsidR="00873E8A" w:rsidRPr="007746E1">
        <w:t>drejtimin horizontal ashtu dhe at</w:t>
      </w:r>
      <w:r w:rsidR="0021077F" w:rsidRPr="007746E1">
        <w:t xml:space="preserve">ë </w:t>
      </w:r>
      <w:r w:rsidR="00873E8A" w:rsidRPr="007746E1">
        <w:t>vertikal.</w:t>
      </w:r>
      <w:r w:rsidR="00873E8A" w:rsidRPr="001B1D14">
        <w:t xml:space="preserve"> </w:t>
      </w:r>
    </w:p>
    <w:p w:rsidR="00530C13" w:rsidRPr="001B1D14" w:rsidRDefault="00530C13" w:rsidP="00BF02E2">
      <w:pPr>
        <w:pStyle w:val="ListParagraph"/>
        <w:spacing w:line="276" w:lineRule="auto"/>
        <w:ind w:left="0"/>
        <w:contextualSpacing w:val="0"/>
        <w:jc w:val="both"/>
      </w:pPr>
    </w:p>
    <w:p w:rsidR="000B1495" w:rsidRPr="00F8199B" w:rsidRDefault="00222279" w:rsidP="00BF02E2">
      <w:pPr>
        <w:pStyle w:val="ListParagraph"/>
        <w:spacing w:line="276" w:lineRule="auto"/>
        <w:ind w:left="0"/>
        <w:contextualSpacing w:val="0"/>
        <w:jc w:val="both"/>
        <w:outlineLvl w:val="1"/>
        <w:rPr>
          <w:b/>
          <w:color w:val="FF00FF"/>
          <w:u w:val="single"/>
        </w:rPr>
      </w:pPr>
      <w:bookmarkStart w:id="29" w:name="_Toc79509626"/>
      <w:r w:rsidRPr="00F8199B">
        <w:rPr>
          <w:b/>
          <w:color w:val="FF00FF"/>
          <w:u w:val="single"/>
        </w:rPr>
        <w:t xml:space="preserve">Politika  </w:t>
      </w:r>
      <w:r w:rsidR="00C70695">
        <w:rPr>
          <w:b/>
          <w:color w:val="FF00FF"/>
          <w:u w:val="single"/>
        </w:rPr>
        <w:t>I</w:t>
      </w:r>
      <w:bookmarkEnd w:id="29"/>
    </w:p>
    <w:p w:rsidR="00222279" w:rsidRPr="007746E1" w:rsidRDefault="00222279" w:rsidP="007459B8">
      <w:pPr>
        <w:pStyle w:val="ListParagraph"/>
        <w:spacing w:line="276" w:lineRule="auto"/>
        <w:ind w:left="0"/>
        <w:contextualSpacing w:val="0"/>
        <w:jc w:val="both"/>
        <w:outlineLvl w:val="1"/>
      </w:pPr>
    </w:p>
    <w:p w:rsidR="00593D04" w:rsidRPr="007746E1" w:rsidRDefault="00593D04" w:rsidP="00BF02E2">
      <w:pPr>
        <w:pBdr>
          <w:top w:val="single" w:sz="4" w:space="1" w:color="auto"/>
          <w:left w:val="single" w:sz="4" w:space="4" w:color="auto"/>
          <w:bottom w:val="single" w:sz="4" w:space="1" w:color="auto"/>
          <w:right w:val="single" w:sz="4" w:space="4" w:color="auto"/>
        </w:pBdr>
        <w:spacing w:line="276" w:lineRule="auto"/>
        <w:jc w:val="both"/>
        <w:rPr>
          <w:color w:val="E36C0A" w:themeColor="accent6" w:themeShade="BF"/>
        </w:rPr>
      </w:pPr>
      <w:r w:rsidRPr="00F8199B">
        <w:rPr>
          <w:b/>
          <w:color w:val="FF00FF"/>
        </w:rPr>
        <w:t>Q</w:t>
      </w:r>
      <w:r w:rsidR="003741E5" w:rsidRPr="00F8199B">
        <w:rPr>
          <w:b/>
          <w:color w:val="FF00FF"/>
        </w:rPr>
        <w:t>ë</w:t>
      </w:r>
      <w:r w:rsidRPr="00F8199B">
        <w:rPr>
          <w:b/>
          <w:color w:val="FF00FF"/>
        </w:rPr>
        <w:t xml:space="preserve">llimi </w:t>
      </w:r>
      <w:r w:rsidR="00D972F5" w:rsidRPr="00F8199B">
        <w:rPr>
          <w:b/>
          <w:color w:val="FF00FF"/>
        </w:rPr>
        <w:t>Strategjik</w:t>
      </w:r>
      <w:r w:rsidR="00F8199B">
        <w:rPr>
          <w:b/>
          <w:color w:val="FF00FF"/>
        </w:rPr>
        <w:t xml:space="preserve"> I</w:t>
      </w:r>
      <w:r w:rsidR="00D60681" w:rsidRPr="00F8199B">
        <w:rPr>
          <w:b/>
          <w:color w:val="FF00FF"/>
        </w:rPr>
        <w:t xml:space="preserve"> </w:t>
      </w:r>
      <w:r w:rsidRPr="00F8199B">
        <w:rPr>
          <w:b/>
          <w:color w:val="FF00FF"/>
        </w:rPr>
        <w:t>-</w:t>
      </w:r>
      <w:r w:rsidR="009B0F09" w:rsidRPr="00F8199B">
        <w:rPr>
          <w:b/>
          <w:color w:val="FF00FF"/>
        </w:rPr>
        <w:t xml:space="preserve"> </w:t>
      </w:r>
      <w:r w:rsidR="00075AEB" w:rsidRPr="00F8199B">
        <w:rPr>
          <w:b/>
          <w:color w:val="FF00FF"/>
        </w:rPr>
        <w:t xml:space="preserve"> </w:t>
      </w:r>
      <w:r w:rsidR="00561B85" w:rsidRPr="00F8199B">
        <w:rPr>
          <w:b/>
          <w:color w:val="FF00FF"/>
        </w:rPr>
        <w:t>Përmirësimi i aksesit të personave LGBTI+ në shërbime publike dhe shërbime mbështetëse të specializuara efektive, cilësore dhe të disponueshme në mbarë vendin, në përputhje me nevojat specfike të tyre dhe me standarde kombëtare të harmonizuar</w:t>
      </w:r>
      <w:r w:rsidR="00F8199B">
        <w:rPr>
          <w:b/>
          <w:color w:val="FF00FF"/>
        </w:rPr>
        <w:t>a me ato evropiane/ndërkombëtare.</w:t>
      </w:r>
    </w:p>
    <w:p w:rsidR="00006DAC" w:rsidRPr="007746E1" w:rsidRDefault="00006DAC" w:rsidP="00BF02E2">
      <w:pPr>
        <w:autoSpaceDE w:val="0"/>
        <w:autoSpaceDN w:val="0"/>
        <w:adjustRightInd w:val="0"/>
        <w:spacing w:line="276" w:lineRule="auto"/>
        <w:jc w:val="both"/>
      </w:pPr>
    </w:p>
    <w:p w:rsidR="00D60681" w:rsidRPr="001B1D14" w:rsidRDefault="00043494" w:rsidP="00BF02E2">
      <w:pPr>
        <w:autoSpaceDE w:val="0"/>
        <w:autoSpaceDN w:val="0"/>
        <w:adjustRightInd w:val="0"/>
        <w:spacing w:line="276" w:lineRule="auto"/>
        <w:jc w:val="both"/>
      </w:pPr>
      <w:r>
        <w:t>B</w:t>
      </w:r>
      <w:r w:rsidR="00D60681" w:rsidRPr="007746E1">
        <w:t>azuar n</w:t>
      </w:r>
      <w:r w:rsidR="001465E2" w:rsidRPr="007746E1">
        <w:t>ë</w:t>
      </w:r>
      <w:r w:rsidR="00D60681" w:rsidRPr="007746E1">
        <w:t xml:space="preserve"> </w:t>
      </w:r>
      <w:r w:rsidR="005665F3" w:rsidRPr="007746E1">
        <w:t xml:space="preserve">Fushën e Politikës 3 </w:t>
      </w:r>
      <w:r w:rsidR="00D60681" w:rsidRPr="007746E1">
        <w:t>“</w:t>
      </w:r>
      <w:r w:rsidR="005665F3" w:rsidRPr="007746E1">
        <w:t>Aksesi në shërbime</w:t>
      </w:r>
      <w:r w:rsidR="00D60681" w:rsidRPr="007746E1">
        <w:t xml:space="preserve">” </w:t>
      </w:r>
      <w:r w:rsidR="005665F3" w:rsidRPr="007746E1">
        <w:t xml:space="preserve">të PKV-së së </w:t>
      </w:r>
      <w:r>
        <w:t>m</w:t>
      </w:r>
      <w:r w:rsidRPr="00F9598B">
        <w:t>ë</w:t>
      </w:r>
      <w:r>
        <w:t>parsh</w:t>
      </w:r>
      <w:r w:rsidRPr="00F9598B">
        <w:t>ë</w:t>
      </w:r>
      <w:r>
        <w:t>m 2016-2020</w:t>
      </w:r>
      <w:r w:rsidR="005665F3" w:rsidRPr="007746E1">
        <w:t xml:space="preserve">, </w:t>
      </w:r>
      <w:r w:rsidR="00D60681" w:rsidRPr="007746E1">
        <w:t>ky q</w:t>
      </w:r>
      <w:r w:rsidR="001465E2" w:rsidRPr="007746E1">
        <w:t>ë</w:t>
      </w:r>
      <w:r w:rsidR="00D60681" w:rsidRPr="007746E1">
        <w:t xml:space="preserve">llim </w:t>
      </w:r>
      <w:r w:rsidR="005C19A9">
        <w:t>strategjik</w:t>
      </w:r>
      <w:r w:rsidR="00D60681" w:rsidRPr="007746E1">
        <w:t xml:space="preserve"> </w:t>
      </w:r>
      <w:r w:rsidR="001465E2" w:rsidRPr="007746E1">
        <w:t>ë</w:t>
      </w:r>
      <w:r w:rsidR="00D60681" w:rsidRPr="007746E1">
        <w:t>sht</w:t>
      </w:r>
      <w:r w:rsidR="001465E2" w:rsidRPr="007746E1">
        <w:t>ë</w:t>
      </w:r>
      <w:r w:rsidR="00D60681" w:rsidRPr="007746E1">
        <w:t xml:space="preserve"> zgjeruar m</w:t>
      </w:r>
      <w:r w:rsidR="001465E2" w:rsidRPr="007746E1">
        <w:t>ë</w:t>
      </w:r>
      <w:r w:rsidR="00D60681" w:rsidRPr="007746E1">
        <w:t xml:space="preserve"> tej, duke synuar </w:t>
      </w:r>
      <w:r w:rsidR="00561B85">
        <w:t>p</w:t>
      </w:r>
      <w:r w:rsidR="008551B5">
        <w:t>ë</w:t>
      </w:r>
      <w:r w:rsidR="00561B85">
        <w:t>rmir</w:t>
      </w:r>
      <w:r w:rsidR="008551B5">
        <w:t>ë</w:t>
      </w:r>
      <w:r w:rsidR="00561B85">
        <w:t>simin e aksesit t</w:t>
      </w:r>
      <w:r w:rsidR="008551B5">
        <w:t>ë</w:t>
      </w:r>
      <w:r w:rsidR="00561B85">
        <w:t xml:space="preserve"> personave LGBTI+ n</w:t>
      </w:r>
      <w:r w:rsidR="008551B5">
        <w:t>ë</w:t>
      </w:r>
      <w:r w:rsidR="00561B85">
        <w:t xml:space="preserve"> t</w:t>
      </w:r>
      <w:r w:rsidR="008551B5">
        <w:t>ë</w:t>
      </w:r>
      <w:r w:rsidR="00561B85">
        <w:t xml:space="preserve"> gjitha sh</w:t>
      </w:r>
      <w:r w:rsidR="008551B5">
        <w:t>ë</w:t>
      </w:r>
      <w:r w:rsidR="00561B85">
        <w:t>rbimet, sidomos n</w:t>
      </w:r>
      <w:r w:rsidR="008551B5">
        <w:t>ë</w:t>
      </w:r>
      <w:r w:rsidR="00561B85">
        <w:t xml:space="preserve"> sh</w:t>
      </w:r>
      <w:r w:rsidR="008551B5">
        <w:t>ë</w:t>
      </w:r>
      <w:r w:rsidR="00561B85">
        <w:t>rbimet mb</w:t>
      </w:r>
      <w:r w:rsidR="008551B5">
        <w:t>ë</w:t>
      </w:r>
      <w:r w:rsidR="00561B85">
        <w:t>shtet</w:t>
      </w:r>
      <w:r w:rsidR="008551B5">
        <w:t>ë</w:t>
      </w:r>
      <w:r w:rsidR="00561B85">
        <w:t>se t</w:t>
      </w:r>
      <w:r w:rsidR="008551B5">
        <w:t>ë</w:t>
      </w:r>
      <w:r w:rsidR="00561B85">
        <w:t xml:space="preserve"> specializuara. </w:t>
      </w:r>
      <w:r w:rsidR="008B1E02">
        <w:t>Fuqizimi i kapaciteteve t</w:t>
      </w:r>
      <w:r w:rsidR="008551B5">
        <w:t>ë</w:t>
      </w:r>
      <w:r w:rsidR="008B1E02">
        <w:t xml:space="preserve"> ofruesve t</w:t>
      </w:r>
      <w:r w:rsidR="008551B5">
        <w:t>ë</w:t>
      </w:r>
      <w:r w:rsidR="008B1E02">
        <w:t xml:space="preserve"> k</w:t>
      </w:r>
      <w:r w:rsidR="008551B5">
        <w:t>ë</w:t>
      </w:r>
      <w:r w:rsidR="008B1E02">
        <w:t>tyre sh</w:t>
      </w:r>
      <w:r w:rsidR="008551B5">
        <w:t>ë</w:t>
      </w:r>
      <w:r w:rsidR="008B1E02">
        <w:t>rbimeve p</w:t>
      </w:r>
      <w:r w:rsidR="008551B5">
        <w:t>ë</w:t>
      </w:r>
      <w:r w:rsidR="008B1E02">
        <w:t>r njohjen dhe trajtimin n</w:t>
      </w:r>
      <w:r w:rsidR="008551B5">
        <w:t>ë</w:t>
      </w:r>
      <w:r w:rsidR="008B1E02">
        <w:t xml:space="preserve"> m</w:t>
      </w:r>
      <w:r w:rsidR="008551B5">
        <w:t>ë</w:t>
      </w:r>
      <w:r w:rsidR="008B1E02">
        <w:t>nyr</w:t>
      </w:r>
      <w:r w:rsidR="008551B5">
        <w:t>ë</w:t>
      </w:r>
      <w:r w:rsidR="008B1E02">
        <w:t>n e du</w:t>
      </w:r>
      <w:r w:rsidR="000201F9">
        <w:t>h</w:t>
      </w:r>
      <w:r w:rsidR="008B1E02">
        <w:t>ur t</w:t>
      </w:r>
      <w:r w:rsidR="008551B5">
        <w:t>ë</w:t>
      </w:r>
      <w:r w:rsidR="008B1E02">
        <w:t xml:space="preserve"> rasteve t</w:t>
      </w:r>
      <w:r w:rsidR="008551B5">
        <w:t>ë</w:t>
      </w:r>
      <w:r w:rsidR="008B1E02">
        <w:t xml:space="preserve"> personave LGBTI+</w:t>
      </w:r>
      <w:r w:rsidR="000201F9">
        <w:t>, si dhe ofrimi i sh</w:t>
      </w:r>
      <w:r w:rsidR="008551B5">
        <w:t>ë</w:t>
      </w:r>
      <w:r w:rsidR="000201F9">
        <w:t>rbimeve miq</w:t>
      </w:r>
      <w:r w:rsidR="008551B5">
        <w:t>ë</w:t>
      </w:r>
      <w:r w:rsidR="000201F9">
        <w:t>sore, profesionale, t</w:t>
      </w:r>
      <w:r w:rsidR="008551B5">
        <w:t>ë</w:t>
      </w:r>
      <w:r w:rsidR="000201F9">
        <w:t xml:space="preserve"> standardizuara dhe efektive sh</w:t>
      </w:r>
      <w:r w:rsidR="008551B5">
        <w:t>ë</w:t>
      </w:r>
      <w:r w:rsidR="000201F9">
        <w:t>ndet</w:t>
      </w:r>
      <w:r w:rsidR="008551B5">
        <w:t>ë</w:t>
      </w:r>
      <w:r w:rsidR="000201F9">
        <w:t>sore, n</w:t>
      </w:r>
      <w:r w:rsidR="008551B5">
        <w:t>ë</w:t>
      </w:r>
      <w:r w:rsidR="000201F9">
        <w:t xml:space="preserve"> arsim, pun</w:t>
      </w:r>
      <w:r w:rsidR="008551B5">
        <w:t>ë</w:t>
      </w:r>
      <w:r w:rsidR="000201F9">
        <w:t>sim, etj.,</w:t>
      </w:r>
      <w:r w:rsidR="008B1E02">
        <w:t xml:space="preserve"> </w:t>
      </w:r>
      <w:r w:rsidR="000201F9">
        <w:t>jan</w:t>
      </w:r>
      <w:r w:rsidR="008551B5">
        <w:t>ë</w:t>
      </w:r>
      <w:r w:rsidR="008B1E02">
        <w:t xml:space="preserve"> vler</w:t>
      </w:r>
      <w:r w:rsidR="008551B5">
        <w:t>ë</w:t>
      </w:r>
      <w:r w:rsidR="008B1E02">
        <w:t>suar gjithasthtu si pjes</w:t>
      </w:r>
      <w:r w:rsidR="008551B5">
        <w:t>ë</w:t>
      </w:r>
      <w:r w:rsidR="008B1E02">
        <w:t xml:space="preserve"> e r</w:t>
      </w:r>
      <w:r w:rsidR="008551B5">
        <w:t>ë</w:t>
      </w:r>
      <w:r w:rsidR="008B1E02">
        <w:t>nd</w:t>
      </w:r>
      <w:r w:rsidR="008551B5">
        <w:t>ë</w:t>
      </w:r>
      <w:r w:rsidR="008B1E02">
        <w:t>sishme e k</w:t>
      </w:r>
      <w:r w:rsidR="008551B5">
        <w:t>ë</w:t>
      </w:r>
      <w:r w:rsidR="008B1E02">
        <w:t>tij q</w:t>
      </w:r>
      <w:r w:rsidR="008551B5">
        <w:t>ë</w:t>
      </w:r>
      <w:r w:rsidR="008B1E02">
        <w:t xml:space="preserve">llimi strategjik. </w:t>
      </w:r>
    </w:p>
    <w:p w:rsidR="00375AF7" w:rsidRPr="001B1D14" w:rsidRDefault="00375AF7" w:rsidP="00BF02E2">
      <w:pPr>
        <w:autoSpaceDE w:val="0"/>
        <w:autoSpaceDN w:val="0"/>
        <w:adjustRightInd w:val="0"/>
        <w:spacing w:line="276" w:lineRule="auto"/>
        <w:jc w:val="both"/>
      </w:pPr>
    </w:p>
    <w:p w:rsidR="00375AF7" w:rsidRPr="007746E1" w:rsidRDefault="00375AF7" w:rsidP="00BF02E2">
      <w:pPr>
        <w:autoSpaceDE w:val="0"/>
        <w:autoSpaceDN w:val="0"/>
        <w:adjustRightInd w:val="0"/>
        <w:spacing w:line="276" w:lineRule="auto"/>
        <w:jc w:val="both"/>
      </w:pPr>
      <w:r w:rsidRPr="00F53336">
        <w:t xml:space="preserve">Treguesit kryesorë të impaktit nën këtë qëllim </w:t>
      </w:r>
      <w:r w:rsidR="00F128E8" w:rsidRPr="00F53336">
        <w:t>strategjik</w:t>
      </w:r>
      <w:r w:rsidRPr="00F53336">
        <w:t xml:space="preserve"> janë:</w:t>
      </w:r>
    </w:p>
    <w:p w:rsidR="000201F9" w:rsidRPr="00BE000A" w:rsidRDefault="00E8012C" w:rsidP="00BE000A">
      <w:pPr>
        <w:pStyle w:val="ListParagraph"/>
        <w:numPr>
          <w:ilvl w:val="0"/>
          <w:numId w:val="7"/>
        </w:numPr>
        <w:autoSpaceDE w:val="0"/>
        <w:autoSpaceDN w:val="0"/>
        <w:adjustRightInd w:val="0"/>
        <w:spacing w:line="276" w:lineRule="auto"/>
        <w:jc w:val="both"/>
      </w:pPr>
      <w:r>
        <w:rPr>
          <w:bCs/>
        </w:rPr>
        <w:t>Numri i personave LGBTI+ t</w:t>
      </w:r>
      <w:r w:rsidR="008551B5">
        <w:rPr>
          <w:bCs/>
        </w:rPr>
        <w:t>ë</w:t>
      </w:r>
      <w:r>
        <w:rPr>
          <w:bCs/>
        </w:rPr>
        <w:t xml:space="preserve"> cil</w:t>
      </w:r>
      <w:r w:rsidR="008551B5">
        <w:rPr>
          <w:bCs/>
        </w:rPr>
        <w:t>ë</w:t>
      </w:r>
      <w:r>
        <w:rPr>
          <w:bCs/>
        </w:rPr>
        <w:t>t p</w:t>
      </w:r>
      <w:r w:rsidR="008551B5">
        <w:rPr>
          <w:bCs/>
        </w:rPr>
        <w:t>ë</w:t>
      </w:r>
      <w:r>
        <w:rPr>
          <w:bCs/>
        </w:rPr>
        <w:t>rfitojn</w:t>
      </w:r>
      <w:r w:rsidR="008551B5">
        <w:rPr>
          <w:bCs/>
        </w:rPr>
        <w:t>ë</w:t>
      </w:r>
      <w:r>
        <w:rPr>
          <w:bCs/>
        </w:rPr>
        <w:t xml:space="preserve"> sh</w:t>
      </w:r>
      <w:r w:rsidR="008551B5">
        <w:rPr>
          <w:bCs/>
        </w:rPr>
        <w:t>ë</w:t>
      </w:r>
      <w:r>
        <w:rPr>
          <w:bCs/>
        </w:rPr>
        <w:t>rbime mb</w:t>
      </w:r>
      <w:r w:rsidR="008551B5">
        <w:rPr>
          <w:bCs/>
        </w:rPr>
        <w:t>ë</w:t>
      </w:r>
      <w:r>
        <w:rPr>
          <w:bCs/>
        </w:rPr>
        <w:t>shtet</w:t>
      </w:r>
      <w:r w:rsidR="008551B5">
        <w:rPr>
          <w:bCs/>
        </w:rPr>
        <w:t>ë</w:t>
      </w:r>
      <w:r>
        <w:rPr>
          <w:bCs/>
        </w:rPr>
        <w:t>se t</w:t>
      </w:r>
      <w:r w:rsidR="008551B5">
        <w:rPr>
          <w:bCs/>
        </w:rPr>
        <w:t>ë</w:t>
      </w:r>
      <w:r>
        <w:rPr>
          <w:bCs/>
        </w:rPr>
        <w:t xml:space="preserve"> specializuara miq</w:t>
      </w:r>
      <w:r w:rsidR="008551B5">
        <w:rPr>
          <w:bCs/>
        </w:rPr>
        <w:t>ë</w:t>
      </w:r>
      <w:r>
        <w:rPr>
          <w:bCs/>
        </w:rPr>
        <w:t>sore e sipas standardeve</w:t>
      </w:r>
      <w:r w:rsidRPr="007746E1" w:rsidDel="005A01BC">
        <w:rPr>
          <w:bCs/>
        </w:rPr>
        <w:t xml:space="preserve"> </w:t>
      </w:r>
    </w:p>
    <w:p w:rsidR="0022472A" w:rsidRPr="00BE000A" w:rsidRDefault="000201F9" w:rsidP="00BE000A">
      <w:pPr>
        <w:pStyle w:val="ListParagraph"/>
        <w:numPr>
          <w:ilvl w:val="0"/>
          <w:numId w:val="7"/>
        </w:numPr>
        <w:autoSpaceDE w:val="0"/>
        <w:autoSpaceDN w:val="0"/>
        <w:adjustRightInd w:val="0"/>
        <w:spacing w:line="276" w:lineRule="auto"/>
        <w:jc w:val="both"/>
      </w:pPr>
      <w:r>
        <w:rPr>
          <w:bCs/>
        </w:rPr>
        <w:t>Numri i personave transgjinor</w:t>
      </w:r>
      <w:r w:rsidR="008551B5">
        <w:rPr>
          <w:bCs/>
        </w:rPr>
        <w:t>ë</w:t>
      </w:r>
      <w:r>
        <w:rPr>
          <w:bCs/>
        </w:rPr>
        <w:t xml:space="preserve"> dhe interseks t</w:t>
      </w:r>
      <w:r w:rsidR="008551B5">
        <w:rPr>
          <w:bCs/>
        </w:rPr>
        <w:t>ë</w:t>
      </w:r>
      <w:r>
        <w:rPr>
          <w:bCs/>
        </w:rPr>
        <w:t xml:space="preserve"> trajtuar </w:t>
      </w:r>
      <w:r w:rsidR="0022472A">
        <w:rPr>
          <w:bCs/>
        </w:rPr>
        <w:t>n</w:t>
      </w:r>
      <w:r w:rsidR="008551B5">
        <w:rPr>
          <w:bCs/>
        </w:rPr>
        <w:t>ë</w:t>
      </w:r>
      <w:r w:rsidR="0022472A">
        <w:rPr>
          <w:bCs/>
        </w:rPr>
        <w:t xml:space="preserve"> aspektin sh</w:t>
      </w:r>
      <w:r w:rsidR="008551B5">
        <w:rPr>
          <w:bCs/>
        </w:rPr>
        <w:t>ë</w:t>
      </w:r>
      <w:r w:rsidR="0022472A">
        <w:rPr>
          <w:bCs/>
        </w:rPr>
        <w:t>ndet</w:t>
      </w:r>
      <w:r w:rsidR="008551B5">
        <w:rPr>
          <w:bCs/>
        </w:rPr>
        <w:t>ë</w:t>
      </w:r>
      <w:r w:rsidR="0022472A">
        <w:rPr>
          <w:bCs/>
        </w:rPr>
        <w:t xml:space="preserve">sor sipas </w:t>
      </w:r>
      <w:r>
        <w:rPr>
          <w:bCs/>
        </w:rPr>
        <w:t>protokolleve</w:t>
      </w:r>
      <w:r w:rsidR="0022472A">
        <w:rPr>
          <w:bCs/>
        </w:rPr>
        <w:t xml:space="preserve"> sh</w:t>
      </w:r>
      <w:r w:rsidR="008551B5">
        <w:rPr>
          <w:bCs/>
        </w:rPr>
        <w:t>ë</w:t>
      </w:r>
      <w:r w:rsidR="0022472A">
        <w:rPr>
          <w:bCs/>
        </w:rPr>
        <w:t>ndet</w:t>
      </w:r>
      <w:r w:rsidR="008551B5">
        <w:rPr>
          <w:bCs/>
        </w:rPr>
        <w:t>ë</w:t>
      </w:r>
      <w:r w:rsidR="0022472A">
        <w:rPr>
          <w:bCs/>
        </w:rPr>
        <w:t xml:space="preserve">sore, </w:t>
      </w:r>
      <w:r>
        <w:rPr>
          <w:bCs/>
        </w:rPr>
        <w:t>t</w:t>
      </w:r>
      <w:r w:rsidR="008551B5">
        <w:rPr>
          <w:bCs/>
        </w:rPr>
        <w:t>ë</w:t>
      </w:r>
      <w:r>
        <w:rPr>
          <w:bCs/>
        </w:rPr>
        <w:t xml:space="preserve"> miratuara</w:t>
      </w:r>
      <w:r w:rsidR="0022472A">
        <w:rPr>
          <w:bCs/>
        </w:rPr>
        <w:t xml:space="preserve"> n</w:t>
      </w:r>
      <w:r w:rsidR="008551B5">
        <w:rPr>
          <w:bCs/>
        </w:rPr>
        <w:t>ë</w:t>
      </w:r>
      <w:r w:rsidR="0022472A">
        <w:rPr>
          <w:bCs/>
        </w:rPr>
        <w:t xml:space="preserve"> p</w:t>
      </w:r>
      <w:r w:rsidR="008551B5">
        <w:rPr>
          <w:bCs/>
        </w:rPr>
        <w:t>ë</w:t>
      </w:r>
      <w:r w:rsidR="0022472A">
        <w:rPr>
          <w:bCs/>
        </w:rPr>
        <w:t>rputhje me standardet evropiane/nd</w:t>
      </w:r>
      <w:r w:rsidR="008551B5">
        <w:rPr>
          <w:bCs/>
        </w:rPr>
        <w:t>ë</w:t>
      </w:r>
      <w:r w:rsidR="0022472A">
        <w:rPr>
          <w:bCs/>
        </w:rPr>
        <w:t>rkomb</w:t>
      </w:r>
      <w:r w:rsidR="008551B5">
        <w:rPr>
          <w:bCs/>
        </w:rPr>
        <w:t>ë</w:t>
      </w:r>
      <w:r w:rsidR="0022472A">
        <w:rPr>
          <w:bCs/>
        </w:rPr>
        <w:t>tare.</w:t>
      </w:r>
    </w:p>
    <w:p w:rsidR="00D60681" w:rsidRPr="007746E1" w:rsidRDefault="000201F9" w:rsidP="00BE000A">
      <w:pPr>
        <w:pStyle w:val="ListParagraph"/>
        <w:autoSpaceDE w:val="0"/>
        <w:autoSpaceDN w:val="0"/>
        <w:adjustRightInd w:val="0"/>
        <w:spacing w:line="276" w:lineRule="auto"/>
        <w:jc w:val="both"/>
      </w:pPr>
      <w:r>
        <w:rPr>
          <w:bCs/>
        </w:rPr>
        <w:t xml:space="preserve"> </w:t>
      </w:r>
    </w:p>
    <w:p w:rsidR="001B70C5" w:rsidRPr="007746E1" w:rsidRDefault="001465E2" w:rsidP="00BF02E2">
      <w:pPr>
        <w:autoSpaceDE w:val="0"/>
        <w:autoSpaceDN w:val="0"/>
        <w:adjustRightInd w:val="0"/>
        <w:spacing w:line="276" w:lineRule="auto"/>
        <w:jc w:val="both"/>
      </w:pPr>
      <w:r w:rsidRPr="007746E1">
        <w:t>P</w:t>
      </w:r>
      <w:r w:rsidR="001F1AAB" w:rsidRPr="007746E1">
        <w:t>ë</w:t>
      </w:r>
      <w:r w:rsidRPr="007746E1">
        <w:t>r arritjen e k</w:t>
      </w:r>
      <w:r w:rsidR="001F1AAB" w:rsidRPr="007746E1">
        <w:t>ë</w:t>
      </w:r>
      <w:r w:rsidRPr="007746E1">
        <w:t>tij q</w:t>
      </w:r>
      <w:r w:rsidR="001F1AAB" w:rsidRPr="007746E1">
        <w:t>ë</w:t>
      </w:r>
      <w:r w:rsidRPr="007746E1">
        <w:t>llimi strategjik,</w:t>
      </w:r>
      <w:r w:rsidR="006654E6" w:rsidRPr="007746E1">
        <w:t xml:space="preserve"> institucionet shtetërore që kanë përgjegjësi në këtë fushë</w:t>
      </w:r>
      <w:r w:rsidR="006F04D1" w:rsidRPr="007746E1">
        <w:t>,</w:t>
      </w:r>
      <w:r w:rsidR="006654E6" w:rsidRPr="007746E1">
        <w:t xml:space="preserve"> në partneritet me institucione</w:t>
      </w:r>
      <w:r w:rsidR="005A01BC">
        <w:t>t e pavarura</w:t>
      </w:r>
      <w:r w:rsidR="006654E6" w:rsidRPr="007746E1">
        <w:t xml:space="preserve"> dhe organizata</w:t>
      </w:r>
      <w:r w:rsidR="005A01BC">
        <w:t>t e shoq</w:t>
      </w:r>
      <w:r w:rsidR="008551B5">
        <w:t>ë</w:t>
      </w:r>
      <w:r w:rsidR="005A01BC">
        <w:t>ris</w:t>
      </w:r>
      <w:r w:rsidR="008551B5">
        <w:t>ë</w:t>
      </w:r>
      <w:r w:rsidR="005A01BC">
        <w:t xml:space="preserve"> civile</w:t>
      </w:r>
      <w:r w:rsidR="006F04D1" w:rsidRPr="007746E1">
        <w:t>,</w:t>
      </w:r>
      <w:r w:rsidR="006654E6" w:rsidRPr="007746E1">
        <w:t xml:space="preserve"> do të fokusohen në këto objektiva specifikë:</w:t>
      </w:r>
    </w:p>
    <w:p w:rsidR="00334685" w:rsidRPr="007746E1" w:rsidRDefault="00334685" w:rsidP="00BF02E2">
      <w:pPr>
        <w:spacing w:line="276" w:lineRule="auto"/>
        <w:jc w:val="both"/>
        <w:rPr>
          <w:rFonts w:eastAsiaTheme="minorHAnsi"/>
          <w:color w:val="4F81BD" w:themeColor="accent1"/>
          <w:lang w:eastAsia="en-US"/>
        </w:rPr>
      </w:pPr>
    </w:p>
    <w:tbl>
      <w:tblPr>
        <w:tblStyle w:val="ListTable6ColorfulAccent3"/>
        <w:tblW w:w="5081" w:type="pct"/>
        <w:tblLayout w:type="fixed"/>
        <w:tblLook w:val="04A0"/>
      </w:tblPr>
      <w:tblGrid>
        <w:gridCol w:w="1458"/>
        <w:gridCol w:w="7934"/>
      </w:tblGrid>
      <w:tr w:rsidR="00F8199B" w:rsidRPr="00F8199B" w:rsidTr="00F8199B">
        <w:trPr>
          <w:cnfStyle w:val="100000000000"/>
        </w:trPr>
        <w:tc>
          <w:tcPr>
            <w:cnfStyle w:val="001000000000"/>
            <w:tcW w:w="776" w:type="pct"/>
          </w:tcPr>
          <w:p w:rsidR="004E5771" w:rsidRPr="00F8199B" w:rsidRDefault="001465E2" w:rsidP="00BF02E2">
            <w:pPr>
              <w:spacing w:line="276" w:lineRule="auto"/>
              <w:rPr>
                <w:b w:val="0"/>
                <w:color w:val="FF00FF"/>
              </w:rPr>
            </w:pPr>
            <w:r w:rsidRPr="00F8199B">
              <w:rPr>
                <w:color w:val="FF00FF"/>
              </w:rPr>
              <w:t xml:space="preserve">Objektivi specifik </w:t>
            </w:r>
            <w:r w:rsidR="00F8199B">
              <w:rPr>
                <w:color w:val="FF00FF"/>
              </w:rPr>
              <w:t>I</w:t>
            </w:r>
            <w:r w:rsidRPr="00F8199B">
              <w:rPr>
                <w:color w:val="FF00FF"/>
              </w:rPr>
              <w:t>.1</w:t>
            </w:r>
          </w:p>
        </w:tc>
        <w:tc>
          <w:tcPr>
            <w:tcW w:w="4224" w:type="pct"/>
          </w:tcPr>
          <w:p w:rsidR="00B06476" w:rsidRPr="00F8199B" w:rsidRDefault="005A01BC" w:rsidP="00125E29">
            <w:pPr>
              <w:spacing w:line="276" w:lineRule="auto"/>
              <w:jc w:val="both"/>
              <w:cnfStyle w:val="100000000000"/>
              <w:rPr>
                <w:b w:val="0"/>
                <w:bCs w:val="0"/>
                <w:color w:val="FF00FF"/>
              </w:rPr>
            </w:pPr>
            <w:r w:rsidRPr="00F8199B">
              <w:rPr>
                <w:b w:val="0"/>
                <w:bCs w:val="0"/>
                <w:color w:val="FF00FF"/>
              </w:rPr>
              <w:t>Ofrimi i shërbimeve të përkujdesit shoqëror cilësore dhe miqësore ndaj personave LGBTI+</w:t>
            </w:r>
            <w:r w:rsidR="00125E29" w:rsidRPr="00F8199B">
              <w:rPr>
                <w:b w:val="0"/>
                <w:bCs w:val="0"/>
                <w:color w:val="FF00FF"/>
              </w:rPr>
              <w:t>.</w:t>
            </w:r>
          </w:p>
        </w:tc>
      </w:tr>
      <w:tr w:rsidR="00F8199B" w:rsidRPr="00F8199B" w:rsidTr="00F8199B">
        <w:trPr>
          <w:cnfStyle w:val="000000100000"/>
          <w:trHeight w:val="727"/>
        </w:trPr>
        <w:tc>
          <w:tcPr>
            <w:cnfStyle w:val="001000000000"/>
            <w:tcW w:w="776" w:type="pct"/>
          </w:tcPr>
          <w:p w:rsidR="005E4571" w:rsidRPr="00F8199B" w:rsidRDefault="001465E2" w:rsidP="00BF02E2">
            <w:pPr>
              <w:spacing w:line="276" w:lineRule="auto"/>
              <w:rPr>
                <w:b w:val="0"/>
                <w:color w:val="FF00FF"/>
              </w:rPr>
            </w:pPr>
            <w:r w:rsidRPr="00F8199B">
              <w:rPr>
                <w:color w:val="FF00FF"/>
              </w:rPr>
              <w:t xml:space="preserve">Objektivi specifik </w:t>
            </w:r>
            <w:r w:rsidR="00F8199B">
              <w:rPr>
                <w:color w:val="FF00FF"/>
              </w:rPr>
              <w:t>I</w:t>
            </w:r>
            <w:r w:rsidRPr="00F8199B">
              <w:rPr>
                <w:color w:val="FF00FF"/>
              </w:rPr>
              <w:t>.2</w:t>
            </w:r>
          </w:p>
        </w:tc>
        <w:tc>
          <w:tcPr>
            <w:tcW w:w="4224" w:type="pct"/>
          </w:tcPr>
          <w:p w:rsidR="00A04C2B" w:rsidRPr="00F8199B" w:rsidRDefault="005A01BC" w:rsidP="00BF02E2">
            <w:pPr>
              <w:spacing w:line="276" w:lineRule="auto"/>
              <w:jc w:val="both"/>
              <w:cnfStyle w:val="000000100000"/>
              <w:rPr>
                <w:rFonts w:eastAsiaTheme="minorHAnsi"/>
                <w:bCs/>
                <w:color w:val="FF00FF"/>
                <w:lang w:eastAsia="en-US"/>
              </w:rPr>
            </w:pPr>
            <w:r w:rsidRPr="00F8199B">
              <w:rPr>
                <w:bCs/>
                <w:color w:val="FF00FF"/>
              </w:rPr>
              <w:t>Zvogëlimi i pabarazive dhe diskriminimit të personave LGBTI+ në arsim</w:t>
            </w:r>
          </w:p>
        </w:tc>
      </w:tr>
      <w:tr w:rsidR="00F8199B" w:rsidRPr="00F8199B" w:rsidTr="00F8199B">
        <w:tc>
          <w:tcPr>
            <w:cnfStyle w:val="001000000000"/>
            <w:tcW w:w="776" w:type="pct"/>
          </w:tcPr>
          <w:p w:rsidR="005E4571" w:rsidRPr="00F8199B" w:rsidRDefault="004D169F" w:rsidP="00BF02E2">
            <w:pPr>
              <w:spacing w:line="276" w:lineRule="auto"/>
              <w:rPr>
                <w:b w:val="0"/>
                <w:color w:val="FF00FF"/>
              </w:rPr>
            </w:pPr>
            <w:r w:rsidRPr="00F8199B">
              <w:rPr>
                <w:color w:val="FF00FF"/>
              </w:rPr>
              <w:t xml:space="preserve">Objektivi specifik </w:t>
            </w:r>
            <w:r w:rsidR="00F8199B">
              <w:rPr>
                <w:color w:val="FF00FF"/>
              </w:rPr>
              <w:t>I</w:t>
            </w:r>
            <w:r w:rsidR="001465E2" w:rsidRPr="00F8199B">
              <w:rPr>
                <w:color w:val="FF00FF"/>
              </w:rPr>
              <w:t>.3</w:t>
            </w:r>
          </w:p>
        </w:tc>
        <w:tc>
          <w:tcPr>
            <w:tcW w:w="4224" w:type="pct"/>
          </w:tcPr>
          <w:p w:rsidR="005E4571" w:rsidRPr="00F8199B" w:rsidRDefault="005A01BC" w:rsidP="00BF02E2">
            <w:pPr>
              <w:spacing w:line="276" w:lineRule="auto"/>
              <w:jc w:val="both"/>
              <w:cnfStyle w:val="000000000000"/>
              <w:rPr>
                <w:bCs/>
                <w:color w:val="FF00FF"/>
              </w:rPr>
            </w:pPr>
            <w:r w:rsidRPr="00F8199B">
              <w:rPr>
                <w:bCs/>
                <w:color w:val="FF00FF"/>
              </w:rPr>
              <w:t>Garantimi i aksesit për  personat LGBTI+ në shërbimet e kujdesit shëndetësor, në të gjithë vendin.</w:t>
            </w:r>
          </w:p>
        </w:tc>
      </w:tr>
      <w:tr w:rsidR="00F8199B" w:rsidRPr="00F8199B" w:rsidTr="00F8199B">
        <w:trPr>
          <w:cnfStyle w:val="000000100000"/>
        </w:trPr>
        <w:tc>
          <w:tcPr>
            <w:cnfStyle w:val="001000000000"/>
            <w:tcW w:w="776" w:type="pct"/>
          </w:tcPr>
          <w:p w:rsidR="0052732B" w:rsidRPr="00F8199B" w:rsidRDefault="0052732B" w:rsidP="00F8199B">
            <w:pPr>
              <w:spacing w:line="276" w:lineRule="auto"/>
              <w:rPr>
                <w:color w:val="FF00FF"/>
              </w:rPr>
            </w:pPr>
            <w:r w:rsidRPr="00F8199B">
              <w:rPr>
                <w:color w:val="FF00FF"/>
              </w:rPr>
              <w:t xml:space="preserve">Objektivi specifik </w:t>
            </w:r>
            <w:r w:rsidR="00F8199B">
              <w:rPr>
                <w:color w:val="FF00FF"/>
              </w:rPr>
              <w:t>I</w:t>
            </w:r>
            <w:r w:rsidRPr="00F8199B">
              <w:rPr>
                <w:color w:val="FF00FF"/>
              </w:rPr>
              <w:t>.4</w:t>
            </w:r>
          </w:p>
        </w:tc>
        <w:tc>
          <w:tcPr>
            <w:tcW w:w="4224" w:type="pct"/>
          </w:tcPr>
          <w:p w:rsidR="0052732B" w:rsidRPr="00F8199B" w:rsidRDefault="005A01BC" w:rsidP="00BF02E2">
            <w:pPr>
              <w:spacing w:line="276" w:lineRule="auto"/>
              <w:jc w:val="both"/>
              <w:cnfStyle w:val="000000100000"/>
              <w:rPr>
                <w:rFonts w:eastAsiaTheme="minorHAnsi"/>
                <w:bCs/>
                <w:color w:val="FF00FF"/>
                <w:lang w:eastAsia="en-US"/>
              </w:rPr>
            </w:pPr>
            <w:r w:rsidRPr="00F8199B">
              <w:rPr>
                <w:bCs/>
                <w:color w:val="FF00FF"/>
              </w:rPr>
              <w:t>Zvogëlimi i barrierave që i mbajnë personat  LGBTI+ larg tregut të punës si dhe rritja e aksesit të tyre për punë të denjë edhe në sektorët jo-tradicionalë të punësimit, (në veçanti në shkencë, teknologji, inxhinieri, matematikë).</w:t>
            </w:r>
            <w:r w:rsidR="007E5FB2" w:rsidRPr="00F8199B">
              <w:rPr>
                <w:bCs/>
                <w:color w:val="FF00FF"/>
              </w:rPr>
              <w:t>.</w:t>
            </w:r>
          </w:p>
        </w:tc>
      </w:tr>
    </w:tbl>
    <w:p w:rsidR="005E4571" w:rsidRPr="007746E1" w:rsidRDefault="005E4571" w:rsidP="00BF02E2">
      <w:pPr>
        <w:spacing w:line="276" w:lineRule="auto"/>
        <w:jc w:val="both"/>
        <w:rPr>
          <w:rFonts w:eastAsiaTheme="minorHAnsi"/>
          <w:b/>
          <w:u w:val="single"/>
          <w:lang w:eastAsia="en-US"/>
        </w:rPr>
      </w:pPr>
    </w:p>
    <w:p w:rsidR="00B06476" w:rsidRPr="001B1D14" w:rsidRDefault="002A0589" w:rsidP="00BF02E2">
      <w:pPr>
        <w:spacing w:line="276" w:lineRule="auto"/>
        <w:jc w:val="both"/>
        <w:rPr>
          <w:rFonts w:eastAsiaTheme="minorHAnsi"/>
          <w:lang w:eastAsia="en-US"/>
        </w:rPr>
      </w:pPr>
      <w:r w:rsidRPr="007746E1">
        <w:rPr>
          <w:rFonts w:eastAsiaTheme="minorHAnsi"/>
          <w:lang w:eastAsia="en-US"/>
        </w:rPr>
        <w:lastRenderedPageBreak/>
        <w:t>P</w:t>
      </w:r>
      <w:r w:rsidR="00883F29" w:rsidRPr="007746E1">
        <w:rPr>
          <w:rFonts w:eastAsiaTheme="minorHAnsi"/>
          <w:lang w:eastAsia="en-US"/>
        </w:rPr>
        <w:t>ë</w:t>
      </w:r>
      <w:r w:rsidRPr="007746E1">
        <w:rPr>
          <w:rFonts w:eastAsiaTheme="minorHAnsi"/>
          <w:lang w:eastAsia="en-US"/>
        </w:rPr>
        <w:t>rmbushja e k</w:t>
      </w:r>
      <w:r w:rsidR="00883F29" w:rsidRPr="007746E1">
        <w:rPr>
          <w:rFonts w:eastAsiaTheme="minorHAnsi"/>
          <w:lang w:eastAsia="en-US"/>
        </w:rPr>
        <w:t>ë</w:t>
      </w:r>
      <w:r w:rsidRPr="007746E1">
        <w:rPr>
          <w:rFonts w:eastAsiaTheme="minorHAnsi"/>
          <w:lang w:eastAsia="en-US"/>
        </w:rPr>
        <w:t xml:space="preserve">tyre objektivave </w:t>
      </w:r>
      <w:r w:rsidR="006F04D1" w:rsidRPr="007746E1">
        <w:rPr>
          <w:rFonts w:eastAsiaTheme="minorHAnsi"/>
          <w:lang w:eastAsia="en-US"/>
        </w:rPr>
        <w:t>specifik</w:t>
      </w:r>
      <w:r w:rsidR="00043494" w:rsidRPr="00F9598B">
        <w:t>ë</w:t>
      </w:r>
      <w:r w:rsidR="006F04D1" w:rsidRPr="007746E1">
        <w:rPr>
          <w:rFonts w:eastAsiaTheme="minorHAnsi"/>
          <w:lang w:eastAsia="en-US"/>
        </w:rPr>
        <w:t xml:space="preserve"> </w:t>
      </w:r>
      <w:r w:rsidRPr="007746E1">
        <w:rPr>
          <w:rFonts w:eastAsiaTheme="minorHAnsi"/>
          <w:lang w:eastAsia="en-US"/>
        </w:rPr>
        <w:t>do t</w:t>
      </w:r>
      <w:r w:rsidR="00883F29" w:rsidRPr="007746E1">
        <w:rPr>
          <w:rFonts w:eastAsiaTheme="minorHAnsi"/>
          <w:lang w:eastAsia="en-US"/>
        </w:rPr>
        <w:t>ë</w:t>
      </w:r>
      <w:r w:rsidRPr="007746E1">
        <w:rPr>
          <w:rFonts w:eastAsiaTheme="minorHAnsi"/>
          <w:lang w:eastAsia="en-US"/>
        </w:rPr>
        <w:t xml:space="preserve"> sjell</w:t>
      </w:r>
      <w:r w:rsidR="00883F29" w:rsidRPr="007746E1">
        <w:rPr>
          <w:rFonts w:eastAsiaTheme="minorHAnsi"/>
          <w:lang w:eastAsia="en-US"/>
        </w:rPr>
        <w:t>ë</w:t>
      </w:r>
      <w:r w:rsidRPr="007746E1">
        <w:rPr>
          <w:rFonts w:eastAsiaTheme="minorHAnsi"/>
          <w:lang w:eastAsia="en-US"/>
        </w:rPr>
        <w:t xml:space="preserve"> </w:t>
      </w:r>
      <w:r w:rsidR="00D50290" w:rsidRPr="007746E1">
        <w:rPr>
          <w:rFonts w:eastAsiaTheme="minorHAnsi"/>
          <w:lang w:eastAsia="en-US"/>
        </w:rPr>
        <w:t xml:space="preserve">një përmirësim në </w:t>
      </w:r>
      <w:r w:rsidR="005A01BC">
        <w:rPr>
          <w:rFonts w:eastAsiaTheme="minorHAnsi"/>
          <w:lang w:eastAsia="en-US"/>
        </w:rPr>
        <w:t>m</w:t>
      </w:r>
      <w:r w:rsidR="008551B5">
        <w:rPr>
          <w:rFonts w:eastAsiaTheme="minorHAnsi"/>
          <w:lang w:eastAsia="en-US"/>
        </w:rPr>
        <w:t>ë</w:t>
      </w:r>
      <w:r w:rsidR="005A01BC">
        <w:rPr>
          <w:rFonts w:eastAsiaTheme="minorHAnsi"/>
          <w:lang w:eastAsia="en-US"/>
        </w:rPr>
        <w:t>nyr</w:t>
      </w:r>
      <w:r w:rsidR="008551B5">
        <w:rPr>
          <w:rFonts w:eastAsiaTheme="minorHAnsi"/>
          <w:lang w:eastAsia="en-US"/>
        </w:rPr>
        <w:t>ë</w:t>
      </w:r>
      <w:r w:rsidR="005A01BC">
        <w:rPr>
          <w:rFonts w:eastAsiaTheme="minorHAnsi"/>
          <w:lang w:eastAsia="en-US"/>
        </w:rPr>
        <w:t>n se si personat LGBTI+ marrin sh</w:t>
      </w:r>
      <w:r w:rsidR="008551B5">
        <w:rPr>
          <w:rFonts w:eastAsiaTheme="minorHAnsi"/>
          <w:lang w:eastAsia="en-US"/>
        </w:rPr>
        <w:t>ë</w:t>
      </w:r>
      <w:r w:rsidR="005A01BC">
        <w:rPr>
          <w:rFonts w:eastAsiaTheme="minorHAnsi"/>
          <w:lang w:eastAsia="en-US"/>
        </w:rPr>
        <w:t>rbime t</w:t>
      </w:r>
      <w:r w:rsidR="008551B5">
        <w:rPr>
          <w:rFonts w:eastAsiaTheme="minorHAnsi"/>
          <w:lang w:eastAsia="en-US"/>
        </w:rPr>
        <w:t>ë</w:t>
      </w:r>
      <w:r w:rsidR="005A01BC">
        <w:rPr>
          <w:rFonts w:eastAsiaTheme="minorHAnsi"/>
          <w:lang w:eastAsia="en-US"/>
        </w:rPr>
        <w:t xml:space="preserve"> ndryshme qofshin k</w:t>
      </w:r>
      <w:r w:rsidR="008551B5">
        <w:rPr>
          <w:rFonts w:eastAsiaTheme="minorHAnsi"/>
          <w:lang w:eastAsia="en-US"/>
        </w:rPr>
        <w:t>ë</w:t>
      </w:r>
      <w:r w:rsidR="005A01BC">
        <w:rPr>
          <w:rFonts w:eastAsiaTheme="minorHAnsi"/>
          <w:lang w:eastAsia="en-US"/>
        </w:rPr>
        <w:t>to publike, por edhe n</w:t>
      </w:r>
      <w:r w:rsidR="008551B5">
        <w:rPr>
          <w:rFonts w:eastAsiaTheme="minorHAnsi"/>
          <w:lang w:eastAsia="en-US"/>
        </w:rPr>
        <w:t>ë</w:t>
      </w:r>
      <w:r w:rsidR="005A01BC">
        <w:rPr>
          <w:rFonts w:eastAsiaTheme="minorHAnsi"/>
          <w:lang w:eastAsia="en-US"/>
        </w:rPr>
        <w:t xml:space="preserve"> trajtimin me sh</w:t>
      </w:r>
      <w:r w:rsidR="008551B5">
        <w:rPr>
          <w:rFonts w:eastAsiaTheme="minorHAnsi"/>
          <w:lang w:eastAsia="en-US"/>
        </w:rPr>
        <w:t>ë</w:t>
      </w:r>
      <w:r w:rsidR="005A01BC">
        <w:rPr>
          <w:rFonts w:eastAsiaTheme="minorHAnsi"/>
          <w:lang w:eastAsia="en-US"/>
        </w:rPr>
        <w:t>rbime mb</w:t>
      </w:r>
      <w:r w:rsidR="008551B5">
        <w:rPr>
          <w:rFonts w:eastAsiaTheme="minorHAnsi"/>
          <w:lang w:eastAsia="en-US"/>
        </w:rPr>
        <w:t>ë</w:t>
      </w:r>
      <w:r w:rsidR="005A01BC">
        <w:rPr>
          <w:rFonts w:eastAsiaTheme="minorHAnsi"/>
          <w:lang w:eastAsia="en-US"/>
        </w:rPr>
        <w:t>shtet</w:t>
      </w:r>
      <w:r w:rsidR="008551B5">
        <w:rPr>
          <w:rFonts w:eastAsiaTheme="minorHAnsi"/>
          <w:lang w:eastAsia="en-US"/>
        </w:rPr>
        <w:t>ë</w:t>
      </w:r>
      <w:r w:rsidR="005A01BC">
        <w:rPr>
          <w:rFonts w:eastAsiaTheme="minorHAnsi"/>
          <w:lang w:eastAsia="en-US"/>
        </w:rPr>
        <w:t>se t</w:t>
      </w:r>
      <w:r w:rsidR="008551B5">
        <w:rPr>
          <w:rFonts w:eastAsiaTheme="minorHAnsi"/>
          <w:lang w:eastAsia="en-US"/>
        </w:rPr>
        <w:t>ë</w:t>
      </w:r>
      <w:r w:rsidR="005A01BC">
        <w:rPr>
          <w:rFonts w:eastAsiaTheme="minorHAnsi"/>
          <w:lang w:eastAsia="en-US"/>
        </w:rPr>
        <w:t xml:space="preserve"> specializuara, t</w:t>
      </w:r>
      <w:r w:rsidR="008551B5">
        <w:rPr>
          <w:rFonts w:eastAsiaTheme="minorHAnsi"/>
          <w:lang w:eastAsia="en-US"/>
        </w:rPr>
        <w:t>ë</w:t>
      </w:r>
      <w:r w:rsidR="005A01BC">
        <w:rPr>
          <w:rFonts w:eastAsiaTheme="minorHAnsi"/>
          <w:lang w:eastAsia="en-US"/>
        </w:rPr>
        <w:t xml:space="preserve"> p</w:t>
      </w:r>
      <w:r w:rsidR="008551B5">
        <w:rPr>
          <w:rFonts w:eastAsiaTheme="minorHAnsi"/>
          <w:lang w:eastAsia="en-US"/>
        </w:rPr>
        <w:t>ë</w:t>
      </w:r>
      <w:r w:rsidR="005A01BC">
        <w:rPr>
          <w:rFonts w:eastAsiaTheme="minorHAnsi"/>
          <w:lang w:eastAsia="en-US"/>
        </w:rPr>
        <w:t xml:space="preserve">rshtatura me nevojat e tyre specifike.  </w:t>
      </w:r>
    </w:p>
    <w:p w:rsidR="001F00A5" w:rsidRPr="001B1D14" w:rsidRDefault="001F00A5" w:rsidP="00BF02E2">
      <w:pPr>
        <w:spacing w:line="276" w:lineRule="auto"/>
        <w:jc w:val="both"/>
        <w:rPr>
          <w:rFonts w:eastAsiaTheme="minorHAnsi"/>
          <w:lang w:eastAsia="en-US"/>
        </w:rPr>
      </w:pPr>
    </w:p>
    <w:p w:rsidR="001F00A5" w:rsidRPr="001B1D14" w:rsidRDefault="001F00A5" w:rsidP="00BF02E2">
      <w:pPr>
        <w:spacing w:line="276" w:lineRule="auto"/>
        <w:jc w:val="both"/>
        <w:rPr>
          <w:rFonts w:eastAsiaTheme="minorHAnsi"/>
          <w:lang w:eastAsia="en-US"/>
        </w:rPr>
      </w:pPr>
      <w:r w:rsidRPr="007746E1">
        <w:rPr>
          <w:rFonts w:eastAsiaTheme="minorHAnsi"/>
          <w:lang w:eastAsia="en-US"/>
        </w:rPr>
        <w:t>Kështu më konkretisht, nën</w:t>
      </w:r>
      <w:r w:rsidRPr="007746E1">
        <w:rPr>
          <w:rFonts w:eastAsiaTheme="minorHAnsi"/>
          <w:b/>
          <w:lang w:eastAsia="en-US"/>
        </w:rPr>
        <w:t xml:space="preserve"> objektivin specifik </w:t>
      </w:r>
      <w:r w:rsidR="00F8199B">
        <w:rPr>
          <w:rFonts w:eastAsiaTheme="minorHAnsi"/>
          <w:b/>
          <w:lang w:eastAsia="en-US"/>
        </w:rPr>
        <w:t>I</w:t>
      </w:r>
      <w:r w:rsidRPr="007746E1">
        <w:rPr>
          <w:rFonts w:eastAsiaTheme="minorHAnsi"/>
          <w:b/>
          <w:lang w:eastAsia="en-US"/>
        </w:rPr>
        <w:t>.1</w:t>
      </w:r>
      <w:r w:rsidR="00043494">
        <w:rPr>
          <w:rFonts w:eastAsiaTheme="minorHAnsi"/>
          <w:lang w:eastAsia="en-US"/>
        </w:rPr>
        <w:t xml:space="preserve"> </w:t>
      </w:r>
      <w:r w:rsidRPr="007746E1">
        <w:rPr>
          <w:b/>
        </w:rPr>
        <w:t>“</w:t>
      </w:r>
      <w:r w:rsidR="005A01BC" w:rsidRPr="005A01BC">
        <w:rPr>
          <w:b/>
          <w:bCs/>
        </w:rPr>
        <w:t>Ofrimi i shërbimeve të përkujdesit shoqëror cilësore dhe miqësore ndaj personave LGBTI+.</w:t>
      </w:r>
      <w:r w:rsidRPr="007746E1">
        <w:rPr>
          <w:b/>
        </w:rPr>
        <w:t>”</w:t>
      </w:r>
      <w:r w:rsidRPr="007746E1">
        <w:rPr>
          <w:rFonts w:eastAsiaTheme="minorHAnsi"/>
          <w:lang w:eastAsia="en-US"/>
        </w:rPr>
        <w:t xml:space="preserve"> janë parashikuar:</w:t>
      </w:r>
    </w:p>
    <w:p w:rsidR="001F00A5" w:rsidRPr="001B1D14" w:rsidRDefault="001F00A5" w:rsidP="00BF02E2">
      <w:pPr>
        <w:spacing w:line="276" w:lineRule="auto"/>
        <w:jc w:val="both"/>
        <w:rPr>
          <w:rFonts w:eastAsiaTheme="minorHAnsi"/>
          <w:lang w:eastAsia="en-US"/>
        </w:rPr>
      </w:pPr>
    </w:p>
    <w:p w:rsidR="001F00A5" w:rsidRPr="007746E1" w:rsidRDefault="005048A3" w:rsidP="00BF02E2">
      <w:pPr>
        <w:spacing w:line="276" w:lineRule="auto"/>
        <w:ind w:left="702" w:hanging="702"/>
        <w:jc w:val="both"/>
        <w:rPr>
          <w:b/>
          <w:bCs/>
        </w:rPr>
      </w:pPr>
      <w:r w:rsidRPr="007746E1">
        <w:rPr>
          <w:b/>
          <w:bCs/>
        </w:rPr>
        <w:t>Rezultate</w:t>
      </w:r>
      <w:r w:rsidR="008A189E" w:rsidRPr="007746E1">
        <w:rPr>
          <w:b/>
          <w:bCs/>
        </w:rPr>
        <w:t>t</w:t>
      </w:r>
      <w:r w:rsidR="005A01BC">
        <w:rPr>
          <w:b/>
          <w:bCs/>
        </w:rPr>
        <w:t xml:space="preserve"> e arritshme</w:t>
      </w:r>
      <w:r w:rsidR="008A189E" w:rsidRPr="007746E1">
        <w:rPr>
          <w:b/>
          <w:bCs/>
        </w:rPr>
        <w:t>:</w:t>
      </w:r>
    </w:p>
    <w:p w:rsidR="005A01BC" w:rsidRDefault="005A01BC" w:rsidP="005A01BC">
      <w:pPr>
        <w:spacing w:line="276" w:lineRule="auto"/>
        <w:ind w:left="180" w:hanging="180"/>
        <w:jc w:val="both"/>
        <w:rPr>
          <w:bCs/>
        </w:rPr>
      </w:pPr>
      <w:r w:rsidRPr="005A01BC">
        <w:rPr>
          <w:bCs/>
        </w:rPr>
        <w:t>i. Shërbime mbështetëse të specializuara të aksesueshme dhe disponueshme edhe nga personat LGBTI+ në mbarë vendin</w:t>
      </w:r>
      <w:r w:rsidR="00F8199B">
        <w:rPr>
          <w:bCs/>
        </w:rPr>
        <w:t>.</w:t>
      </w:r>
    </w:p>
    <w:p w:rsidR="005A01BC" w:rsidRDefault="005A01BC" w:rsidP="005A01BC">
      <w:pPr>
        <w:spacing w:line="276" w:lineRule="auto"/>
        <w:ind w:left="180" w:hanging="180"/>
        <w:jc w:val="both"/>
        <w:rPr>
          <w:bCs/>
        </w:rPr>
      </w:pPr>
      <w:r w:rsidRPr="005A01BC">
        <w:rPr>
          <w:bCs/>
        </w:rPr>
        <w:t>ii. Profesioniste dhe profesionistë ofrues të shërbimeve të përkujdesit shoqëror të ndërgjegjësuar dhe të gatshëm për të ofruar shërbime miqësore dhe sipas standardeve për personat LGBTI+</w:t>
      </w:r>
      <w:r w:rsidR="00F8199B">
        <w:rPr>
          <w:bCs/>
        </w:rPr>
        <w:t>.</w:t>
      </w:r>
    </w:p>
    <w:p w:rsidR="00B226C0" w:rsidRPr="001B1D14" w:rsidRDefault="00B226C0" w:rsidP="00BE000A">
      <w:pPr>
        <w:spacing w:line="276" w:lineRule="auto"/>
        <w:jc w:val="both"/>
        <w:rPr>
          <w:bCs/>
        </w:rPr>
      </w:pPr>
    </w:p>
    <w:p w:rsidR="005A01BC" w:rsidRPr="001F00A5" w:rsidRDefault="005A01BC" w:rsidP="005A01BC">
      <w:pPr>
        <w:spacing w:line="276" w:lineRule="auto"/>
        <w:jc w:val="both"/>
        <w:rPr>
          <w:b/>
        </w:rPr>
      </w:pPr>
      <w:r w:rsidRPr="001F00A5">
        <w:rPr>
          <w:b/>
        </w:rPr>
        <w:t>Treguesit:</w:t>
      </w:r>
    </w:p>
    <w:p w:rsidR="00B226C0" w:rsidRDefault="005A01BC" w:rsidP="001B1D14">
      <w:pPr>
        <w:spacing w:line="276" w:lineRule="auto"/>
        <w:jc w:val="both"/>
        <w:rPr>
          <w:rFonts w:eastAsiaTheme="minorHAnsi"/>
          <w:lang w:eastAsia="en-US"/>
        </w:rPr>
      </w:pPr>
      <w:r w:rsidRPr="005A01BC">
        <w:rPr>
          <w:rFonts w:eastAsiaTheme="minorHAnsi"/>
          <w:lang w:eastAsia="en-US"/>
        </w:rPr>
        <w:t>I.1.a. Numri i shërbimeve mbështetëse të specializuara me standarde të përmirësuara e të përshtatura për trajtimin në mënyrën e duhur të personave LGBTI+</w:t>
      </w:r>
      <w:r w:rsidR="00F8199B">
        <w:rPr>
          <w:rFonts w:eastAsiaTheme="minorHAnsi"/>
          <w:lang w:eastAsia="en-US"/>
        </w:rPr>
        <w:t>.</w:t>
      </w:r>
    </w:p>
    <w:p w:rsidR="005A01BC" w:rsidRDefault="005A01BC" w:rsidP="001B1D14">
      <w:pPr>
        <w:spacing w:line="276" w:lineRule="auto"/>
        <w:jc w:val="both"/>
        <w:rPr>
          <w:rFonts w:eastAsiaTheme="minorHAnsi"/>
          <w:lang w:eastAsia="en-US"/>
        </w:rPr>
      </w:pPr>
      <w:r w:rsidRPr="005A01BC">
        <w:rPr>
          <w:rFonts w:eastAsiaTheme="minorHAnsi"/>
          <w:lang w:eastAsia="en-US"/>
        </w:rPr>
        <w:t>I.1.b. Përqindja e buxhetit të shtetit alokuar për funksionimin e shërbimeve mbështetëse të specializuara të dedikuara për personat LGBTI+, ose që ofrojnë shërbime miqësore ndaj tyre.</w:t>
      </w:r>
    </w:p>
    <w:p w:rsidR="005A01BC" w:rsidRDefault="005A01BC" w:rsidP="001B1D14">
      <w:pPr>
        <w:spacing w:line="276" w:lineRule="auto"/>
        <w:jc w:val="both"/>
        <w:rPr>
          <w:rFonts w:eastAsiaTheme="minorHAnsi"/>
          <w:lang w:eastAsia="en-US"/>
        </w:rPr>
      </w:pPr>
    </w:p>
    <w:p w:rsidR="005A01BC" w:rsidRDefault="00E8012C" w:rsidP="001B1D14">
      <w:pPr>
        <w:spacing w:line="276" w:lineRule="auto"/>
        <w:jc w:val="both"/>
        <w:rPr>
          <w:rFonts w:eastAsiaTheme="minorHAnsi"/>
          <w:b/>
          <w:lang w:eastAsia="en-US"/>
        </w:rPr>
      </w:pPr>
      <w:r w:rsidRPr="00BE000A">
        <w:rPr>
          <w:rFonts w:eastAsiaTheme="minorHAnsi"/>
          <w:b/>
          <w:lang w:eastAsia="en-US"/>
        </w:rPr>
        <w:t>Masat:</w:t>
      </w:r>
    </w:p>
    <w:p w:rsidR="00E8012C" w:rsidRPr="00BE000A" w:rsidRDefault="00E8012C" w:rsidP="001B1D14">
      <w:pPr>
        <w:spacing w:line="276" w:lineRule="auto"/>
        <w:jc w:val="both"/>
        <w:rPr>
          <w:rFonts w:eastAsiaTheme="minorHAnsi"/>
          <w:lang w:eastAsia="en-US"/>
        </w:rPr>
      </w:pPr>
      <w:r w:rsidRPr="00BE000A">
        <w:rPr>
          <w:rFonts w:eastAsiaTheme="minorHAnsi"/>
          <w:lang w:eastAsia="en-US"/>
        </w:rPr>
        <w:t>I.1.1. Ndërtimi/fuqizimi i kapaciteteve të nëpunëseve dhe nëpunësve civilë për të respektuar të drejtat njerëzore të personave LGBTI+</w:t>
      </w:r>
      <w:r w:rsidR="00F8199B">
        <w:rPr>
          <w:rFonts w:eastAsiaTheme="minorHAnsi"/>
          <w:lang w:eastAsia="en-US"/>
        </w:rPr>
        <w:t>.</w:t>
      </w:r>
    </w:p>
    <w:p w:rsidR="00E8012C" w:rsidRDefault="00E8012C" w:rsidP="001B1D14">
      <w:pPr>
        <w:spacing w:line="276" w:lineRule="auto"/>
        <w:jc w:val="both"/>
        <w:rPr>
          <w:rFonts w:eastAsiaTheme="minorHAnsi"/>
          <w:lang w:eastAsia="en-US"/>
        </w:rPr>
      </w:pPr>
      <w:r w:rsidRPr="00BE000A">
        <w:rPr>
          <w:rFonts w:eastAsiaTheme="minorHAnsi"/>
          <w:lang w:eastAsia="en-US"/>
        </w:rPr>
        <w:t>I.1.2. Përmirësimi i fokusit të shërbimeve mbështetëse të specializuara dhe kthimi i tyre në shërbime plotësisht miqësore edhe për personat LGBTI+</w:t>
      </w:r>
      <w:r w:rsidR="00F8199B">
        <w:rPr>
          <w:rFonts w:eastAsiaTheme="minorHAnsi"/>
          <w:lang w:eastAsia="en-US"/>
        </w:rPr>
        <w:t>.</w:t>
      </w:r>
    </w:p>
    <w:p w:rsidR="00E8012C" w:rsidRDefault="00E8012C" w:rsidP="001B1D14">
      <w:pPr>
        <w:spacing w:line="276" w:lineRule="auto"/>
        <w:jc w:val="both"/>
        <w:rPr>
          <w:rFonts w:eastAsiaTheme="minorHAnsi"/>
          <w:lang w:eastAsia="en-US"/>
        </w:rPr>
      </w:pPr>
      <w:r w:rsidRPr="00E8012C">
        <w:rPr>
          <w:rFonts w:eastAsiaTheme="minorHAnsi"/>
          <w:lang w:eastAsia="en-US"/>
        </w:rPr>
        <w:t>I.1.3. Mbulimi i nevojave për strehim afatgjatë dhe të përshtatshëm, në përputhje me legjislacionin në fuqi, për personat LGBTI+</w:t>
      </w:r>
      <w:r w:rsidR="00F8199B">
        <w:rPr>
          <w:rFonts w:eastAsiaTheme="minorHAnsi"/>
          <w:lang w:eastAsia="en-US"/>
        </w:rPr>
        <w:t>.</w:t>
      </w:r>
    </w:p>
    <w:p w:rsidR="00E8012C" w:rsidRDefault="00E8012C" w:rsidP="001B1D14">
      <w:pPr>
        <w:spacing w:line="276" w:lineRule="auto"/>
        <w:jc w:val="both"/>
        <w:rPr>
          <w:rFonts w:eastAsiaTheme="minorHAnsi"/>
          <w:lang w:eastAsia="en-US"/>
        </w:rPr>
      </w:pPr>
      <w:r w:rsidRPr="00E8012C">
        <w:rPr>
          <w:rFonts w:eastAsiaTheme="minorHAnsi"/>
          <w:lang w:eastAsia="en-US"/>
        </w:rPr>
        <w:t>I.1.4. Mbulim i nevojave për këshillim psiko-emocional dhe këshillim familjar p</w:t>
      </w:r>
      <w:r w:rsidR="00F8199B">
        <w:rPr>
          <w:rFonts w:eastAsiaTheme="minorHAnsi"/>
          <w:lang w:eastAsia="en-US"/>
        </w:rPr>
        <w:t>ë</w:t>
      </w:r>
      <w:r w:rsidRPr="00E8012C">
        <w:rPr>
          <w:rFonts w:eastAsiaTheme="minorHAnsi"/>
          <w:lang w:eastAsia="en-US"/>
        </w:rPr>
        <w:t>r personat LGBTI+ dhe familjet e tyre</w:t>
      </w:r>
      <w:r w:rsidR="00F8199B">
        <w:rPr>
          <w:rFonts w:eastAsiaTheme="minorHAnsi"/>
          <w:lang w:eastAsia="en-US"/>
        </w:rPr>
        <w:t>.</w:t>
      </w:r>
    </w:p>
    <w:p w:rsidR="00E8012C" w:rsidRPr="00E8012C" w:rsidRDefault="00E8012C" w:rsidP="001B1D14">
      <w:pPr>
        <w:spacing w:line="276" w:lineRule="auto"/>
        <w:jc w:val="both"/>
        <w:rPr>
          <w:rFonts w:eastAsiaTheme="minorHAnsi"/>
          <w:lang w:eastAsia="en-US"/>
        </w:rPr>
      </w:pPr>
    </w:p>
    <w:p w:rsidR="00B226C0" w:rsidRDefault="00B226C0" w:rsidP="00BF02E2">
      <w:pPr>
        <w:spacing w:line="276" w:lineRule="auto"/>
        <w:jc w:val="both"/>
        <w:rPr>
          <w:rFonts w:eastAsiaTheme="minorHAnsi"/>
          <w:lang w:eastAsia="en-US"/>
        </w:rPr>
      </w:pPr>
      <w:r w:rsidRPr="007746E1">
        <w:rPr>
          <w:rFonts w:eastAsiaTheme="minorHAnsi"/>
          <w:lang w:eastAsia="en-US"/>
        </w:rPr>
        <w:t xml:space="preserve">Nën </w:t>
      </w:r>
      <w:r w:rsidRPr="007746E1">
        <w:rPr>
          <w:rFonts w:eastAsiaTheme="minorHAnsi"/>
          <w:b/>
          <w:lang w:eastAsia="en-US"/>
        </w:rPr>
        <w:t>objektivin specifik I.2. “</w:t>
      </w:r>
      <w:r w:rsidR="00E8012C" w:rsidRPr="00E8012C">
        <w:rPr>
          <w:b/>
        </w:rPr>
        <w:t>Zvogëlimi i pabarazive dhe diskriminimit të personave LGBTI+ në arsim</w:t>
      </w:r>
      <w:r w:rsidRPr="007746E1">
        <w:rPr>
          <w:rFonts w:eastAsiaTheme="minorHAnsi"/>
          <w:b/>
          <w:lang w:eastAsia="en-US"/>
        </w:rPr>
        <w:t>”</w:t>
      </w:r>
      <w:r w:rsidRPr="007746E1">
        <w:rPr>
          <w:rFonts w:eastAsiaTheme="minorHAnsi"/>
          <w:lang w:eastAsia="en-US"/>
        </w:rPr>
        <w:t xml:space="preserve"> janë parashikuar:</w:t>
      </w:r>
    </w:p>
    <w:p w:rsidR="00E8012C" w:rsidRPr="007746E1" w:rsidRDefault="00E8012C" w:rsidP="00BF02E2">
      <w:pPr>
        <w:spacing w:line="276" w:lineRule="auto"/>
        <w:jc w:val="both"/>
        <w:rPr>
          <w:rFonts w:eastAsiaTheme="minorHAnsi"/>
          <w:lang w:eastAsia="en-US"/>
        </w:rPr>
      </w:pPr>
    </w:p>
    <w:p w:rsidR="00E8012C" w:rsidRDefault="00F53336" w:rsidP="00E8012C">
      <w:pPr>
        <w:spacing w:line="276" w:lineRule="auto"/>
        <w:ind w:left="702" w:hanging="702"/>
        <w:jc w:val="both"/>
        <w:rPr>
          <w:b/>
          <w:bCs/>
        </w:rPr>
      </w:pPr>
      <w:r>
        <w:rPr>
          <w:b/>
          <w:bCs/>
        </w:rPr>
        <w:t>Rezultati i</w:t>
      </w:r>
      <w:r w:rsidR="00E8012C">
        <w:rPr>
          <w:b/>
          <w:bCs/>
        </w:rPr>
        <w:t xml:space="preserve"> arritsh</w:t>
      </w:r>
      <w:r w:rsidR="008551B5">
        <w:rPr>
          <w:b/>
          <w:bCs/>
        </w:rPr>
        <w:t>ë</w:t>
      </w:r>
      <w:r w:rsidR="00E8012C">
        <w:rPr>
          <w:b/>
          <w:bCs/>
        </w:rPr>
        <w:t>m</w:t>
      </w:r>
      <w:r w:rsidR="00E8012C" w:rsidRPr="007746E1">
        <w:rPr>
          <w:b/>
          <w:bCs/>
        </w:rPr>
        <w:t>:</w:t>
      </w:r>
    </w:p>
    <w:p w:rsidR="00E8012C" w:rsidRPr="00BE000A" w:rsidRDefault="00E8012C" w:rsidP="00C70695">
      <w:pPr>
        <w:spacing w:line="276" w:lineRule="auto"/>
        <w:ind w:left="702" w:hanging="702"/>
        <w:jc w:val="both"/>
        <w:rPr>
          <w:bCs/>
        </w:rPr>
      </w:pPr>
      <w:r w:rsidRPr="00BE000A">
        <w:rPr>
          <w:bCs/>
        </w:rPr>
        <w:t>i. Institucione arsimore më miqësore dhe gjithëpërfshirëse kundrejt personave LGBTI+</w:t>
      </w:r>
      <w:r w:rsidR="00F8199B">
        <w:rPr>
          <w:bCs/>
        </w:rPr>
        <w:t>.</w:t>
      </w:r>
    </w:p>
    <w:p w:rsidR="00E8012C" w:rsidRDefault="00E8012C" w:rsidP="00E8012C">
      <w:pPr>
        <w:spacing w:line="276" w:lineRule="auto"/>
        <w:ind w:left="270" w:hanging="270"/>
        <w:jc w:val="both"/>
        <w:rPr>
          <w:bCs/>
        </w:rPr>
      </w:pPr>
      <w:r w:rsidRPr="00BE000A">
        <w:rPr>
          <w:bCs/>
        </w:rPr>
        <w:t>ii. Profesioniste dhe profesionistë të fushës së arsimit më të përgatitur profesionalisht dhe më të gatshëm për të kontribuar në zvogëlimin e pabarazive</w:t>
      </w:r>
      <w:r w:rsidR="00F8199B">
        <w:rPr>
          <w:bCs/>
        </w:rPr>
        <w:t xml:space="preserve"> </w:t>
      </w:r>
      <w:r w:rsidRPr="00BE000A">
        <w:rPr>
          <w:bCs/>
        </w:rPr>
        <w:t>dhe diskriminimit të personave LGBTI+ në arsim</w:t>
      </w:r>
      <w:r w:rsidR="00F8199B">
        <w:rPr>
          <w:bCs/>
        </w:rPr>
        <w:t>.</w:t>
      </w:r>
    </w:p>
    <w:p w:rsidR="00E8012C" w:rsidRPr="00BE000A" w:rsidRDefault="00E8012C" w:rsidP="00E8012C">
      <w:pPr>
        <w:spacing w:line="276" w:lineRule="auto"/>
        <w:ind w:left="270" w:hanging="270"/>
        <w:jc w:val="both"/>
        <w:rPr>
          <w:bCs/>
        </w:rPr>
      </w:pPr>
    </w:p>
    <w:p w:rsidR="00B226C0" w:rsidRDefault="00E8012C" w:rsidP="00BF02E2">
      <w:pPr>
        <w:spacing w:line="276" w:lineRule="auto"/>
        <w:ind w:left="720" w:hanging="720"/>
        <w:jc w:val="both"/>
        <w:rPr>
          <w:rFonts w:eastAsiaTheme="minorHAnsi"/>
          <w:b/>
          <w:lang w:eastAsia="en-US"/>
        </w:rPr>
      </w:pPr>
      <w:r w:rsidRPr="00E8012C">
        <w:rPr>
          <w:rFonts w:eastAsiaTheme="minorHAnsi"/>
          <w:b/>
          <w:lang w:eastAsia="en-US"/>
        </w:rPr>
        <w:t>Treguesi</w:t>
      </w:r>
      <w:r w:rsidRPr="00BE000A">
        <w:rPr>
          <w:rFonts w:eastAsiaTheme="minorHAnsi"/>
          <w:b/>
          <w:lang w:eastAsia="en-US"/>
        </w:rPr>
        <w:t>:</w:t>
      </w:r>
    </w:p>
    <w:p w:rsidR="00E8012C" w:rsidRPr="00BE000A" w:rsidRDefault="00E8012C" w:rsidP="00E8012C">
      <w:pPr>
        <w:spacing w:line="276" w:lineRule="auto"/>
        <w:ind w:left="540" w:hanging="540"/>
        <w:jc w:val="both"/>
        <w:rPr>
          <w:rFonts w:eastAsiaTheme="minorHAnsi"/>
          <w:lang w:eastAsia="en-US"/>
        </w:rPr>
      </w:pPr>
      <w:r w:rsidRPr="00BE000A">
        <w:rPr>
          <w:rFonts w:eastAsiaTheme="minorHAnsi"/>
          <w:lang w:eastAsia="en-US"/>
        </w:rPr>
        <w:t>I.2.a. Numri i fëmijëve, adoleshentëve dhe studentëve LGBTI+ të diskriminua</w:t>
      </w:r>
      <w:r w:rsidR="00F8199B">
        <w:rPr>
          <w:rFonts w:eastAsiaTheme="minorHAnsi"/>
          <w:lang w:eastAsia="en-US"/>
        </w:rPr>
        <w:t>r</w:t>
      </w:r>
      <w:r w:rsidRPr="00BE000A">
        <w:rPr>
          <w:rFonts w:eastAsiaTheme="minorHAnsi"/>
          <w:lang w:eastAsia="en-US"/>
        </w:rPr>
        <w:t xml:space="preserve"> apo dhunuar, të cilët raportojnë për situatën e tyre në institucionet arsimore dhe mbështeten e trajtohen  me prioritet e sipas standardeve nga profesionistet dhe profesionistët e fushës së arsimit.</w:t>
      </w:r>
    </w:p>
    <w:p w:rsidR="00E8012C" w:rsidRPr="00BE000A" w:rsidRDefault="00E8012C" w:rsidP="00BF02E2">
      <w:pPr>
        <w:spacing w:line="276" w:lineRule="auto"/>
        <w:ind w:left="720" w:hanging="720"/>
        <w:jc w:val="both"/>
        <w:rPr>
          <w:rFonts w:eastAsiaTheme="minorHAnsi"/>
          <w:b/>
          <w:lang w:eastAsia="en-US"/>
        </w:rPr>
      </w:pPr>
    </w:p>
    <w:p w:rsidR="00E8012C" w:rsidRPr="00BE000A" w:rsidRDefault="00E8012C" w:rsidP="00BF02E2">
      <w:pPr>
        <w:spacing w:line="276" w:lineRule="auto"/>
        <w:ind w:left="720" w:hanging="720"/>
        <w:jc w:val="both"/>
        <w:rPr>
          <w:rFonts w:eastAsiaTheme="minorHAnsi"/>
          <w:b/>
          <w:lang w:eastAsia="en-US"/>
        </w:rPr>
      </w:pPr>
      <w:r w:rsidRPr="00BE000A">
        <w:rPr>
          <w:rFonts w:eastAsiaTheme="minorHAnsi"/>
          <w:b/>
          <w:lang w:eastAsia="en-US"/>
        </w:rPr>
        <w:t>Masat:</w:t>
      </w:r>
    </w:p>
    <w:p w:rsidR="00E8012C" w:rsidRDefault="00E8012C" w:rsidP="00BF02E2">
      <w:pPr>
        <w:spacing w:line="276" w:lineRule="auto"/>
        <w:ind w:left="720" w:hanging="720"/>
        <w:jc w:val="both"/>
        <w:rPr>
          <w:rFonts w:eastAsiaTheme="minorHAnsi"/>
          <w:lang w:eastAsia="en-US"/>
        </w:rPr>
      </w:pPr>
      <w:r w:rsidRPr="00E8012C">
        <w:rPr>
          <w:rFonts w:eastAsiaTheme="minorHAnsi"/>
          <w:lang w:eastAsia="en-US"/>
        </w:rPr>
        <w:t>I.2.1. Ndërtimi/fuqizimi i kapaciteteve të profesionisteve dhe profesionistëve në sistemin arsimor parauniversitar për të luftuar pabarazitë dhe diskriminimin e personave LGBTI+ në arsim.</w:t>
      </w:r>
    </w:p>
    <w:p w:rsidR="0022472A" w:rsidRDefault="0022472A" w:rsidP="00BF02E2">
      <w:pPr>
        <w:spacing w:line="276" w:lineRule="auto"/>
        <w:ind w:left="720" w:hanging="720"/>
        <w:jc w:val="both"/>
        <w:rPr>
          <w:rFonts w:eastAsiaTheme="minorHAnsi"/>
          <w:lang w:eastAsia="en-US"/>
        </w:rPr>
      </w:pPr>
      <w:r w:rsidRPr="0022472A">
        <w:rPr>
          <w:rFonts w:eastAsiaTheme="minorHAnsi"/>
          <w:lang w:eastAsia="en-US"/>
        </w:rPr>
        <w:t>I.2.2. Përgatitja e një brezi të ri profesionistesh e profesionistësh me njohuritë e duhura mbi çështjet LGBTI+ dhe repektimin e të drejtave njerëzore të personave LGBTI+</w:t>
      </w:r>
      <w:r w:rsidR="00F8199B">
        <w:rPr>
          <w:rFonts w:eastAsiaTheme="minorHAnsi"/>
          <w:lang w:eastAsia="en-US"/>
        </w:rPr>
        <w:t>.</w:t>
      </w:r>
      <w:r w:rsidRPr="0022472A">
        <w:rPr>
          <w:rFonts w:eastAsiaTheme="minorHAnsi"/>
          <w:lang w:eastAsia="en-US"/>
        </w:rPr>
        <w:t xml:space="preserve">  </w:t>
      </w:r>
    </w:p>
    <w:p w:rsidR="00E8012C" w:rsidRPr="007746E1" w:rsidRDefault="00E8012C" w:rsidP="00BF02E2">
      <w:pPr>
        <w:spacing w:line="276" w:lineRule="auto"/>
        <w:ind w:left="720" w:hanging="720"/>
        <w:jc w:val="both"/>
        <w:rPr>
          <w:rFonts w:eastAsiaTheme="minorHAnsi"/>
          <w:lang w:eastAsia="en-US"/>
        </w:rPr>
      </w:pPr>
    </w:p>
    <w:p w:rsidR="00D66D24" w:rsidRPr="007746E1" w:rsidRDefault="00D66D24" w:rsidP="00BF02E2">
      <w:pPr>
        <w:tabs>
          <w:tab w:val="left" w:pos="0"/>
        </w:tabs>
        <w:spacing w:line="276" w:lineRule="auto"/>
        <w:jc w:val="both"/>
      </w:pPr>
      <w:r w:rsidRPr="007746E1">
        <w:t xml:space="preserve">Nën </w:t>
      </w:r>
      <w:r w:rsidRPr="007746E1">
        <w:rPr>
          <w:b/>
        </w:rPr>
        <w:t xml:space="preserve">objektivin specifik </w:t>
      </w:r>
      <w:r w:rsidR="006263D1" w:rsidRPr="007746E1">
        <w:rPr>
          <w:b/>
        </w:rPr>
        <w:t>1</w:t>
      </w:r>
      <w:r w:rsidRPr="007746E1">
        <w:rPr>
          <w:b/>
        </w:rPr>
        <w:t>.3</w:t>
      </w:r>
      <w:r w:rsidRPr="007746E1">
        <w:rPr>
          <w:b/>
          <w:bCs/>
        </w:rPr>
        <w:t xml:space="preserve"> “</w:t>
      </w:r>
      <w:r w:rsidR="0022472A" w:rsidRPr="0022472A">
        <w:rPr>
          <w:b/>
        </w:rPr>
        <w:t>Garantimi i aksesit për  personat LGBTI+ në shërbimet e kujdesit shëndetësor, në të gjithë vendin.</w:t>
      </w:r>
      <w:r w:rsidRPr="00314849">
        <w:rPr>
          <w:b/>
        </w:rPr>
        <w:t xml:space="preserve">”, </w:t>
      </w:r>
      <w:r w:rsidRPr="00314849">
        <w:t>janë parashikuar:</w:t>
      </w:r>
    </w:p>
    <w:p w:rsidR="0022472A" w:rsidRDefault="0022472A" w:rsidP="00E8012C">
      <w:pPr>
        <w:spacing w:line="276" w:lineRule="auto"/>
        <w:ind w:left="702" w:hanging="702"/>
        <w:jc w:val="both"/>
        <w:rPr>
          <w:b/>
          <w:bCs/>
        </w:rPr>
      </w:pPr>
    </w:p>
    <w:p w:rsidR="00E8012C" w:rsidRPr="007746E1" w:rsidRDefault="00E8012C" w:rsidP="00E8012C">
      <w:pPr>
        <w:spacing w:line="276" w:lineRule="auto"/>
        <w:ind w:left="702" w:hanging="702"/>
        <w:jc w:val="both"/>
        <w:rPr>
          <w:b/>
          <w:bCs/>
        </w:rPr>
      </w:pPr>
      <w:r w:rsidRPr="007746E1">
        <w:rPr>
          <w:b/>
          <w:bCs/>
        </w:rPr>
        <w:t>Rezultatet</w:t>
      </w:r>
      <w:r>
        <w:rPr>
          <w:b/>
          <w:bCs/>
        </w:rPr>
        <w:t xml:space="preserve"> e arritshme</w:t>
      </w:r>
      <w:r w:rsidRPr="007746E1">
        <w:rPr>
          <w:b/>
          <w:bCs/>
        </w:rPr>
        <w:t>:</w:t>
      </w:r>
    </w:p>
    <w:p w:rsidR="0022472A" w:rsidRPr="00BE000A" w:rsidRDefault="0022472A" w:rsidP="00E8012C">
      <w:pPr>
        <w:spacing w:line="276" w:lineRule="auto"/>
        <w:ind w:left="720" w:hanging="720"/>
        <w:jc w:val="both"/>
        <w:rPr>
          <w:rFonts w:eastAsiaTheme="minorHAnsi"/>
          <w:lang w:eastAsia="en-US"/>
        </w:rPr>
      </w:pPr>
      <w:r w:rsidRPr="00BE000A">
        <w:rPr>
          <w:rFonts w:eastAsiaTheme="minorHAnsi"/>
          <w:lang w:eastAsia="en-US"/>
        </w:rPr>
        <w:t>i. Shërbime të kujdesit shëndetësor miqësore, të aksesueshme dhe të diponueshme për personat LGBTI+ në mbarë vendin</w:t>
      </w:r>
      <w:r w:rsidR="00F8199B">
        <w:rPr>
          <w:rFonts w:eastAsiaTheme="minorHAnsi"/>
          <w:lang w:eastAsia="en-US"/>
        </w:rPr>
        <w:t>.</w:t>
      </w:r>
    </w:p>
    <w:p w:rsidR="0022472A" w:rsidRPr="00BE000A" w:rsidRDefault="0022472A" w:rsidP="00E8012C">
      <w:pPr>
        <w:spacing w:line="276" w:lineRule="auto"/>
        <w:ind w:left="720" w:hanging="720"/>
        <w:jc w:val="both"/>
        <w:rPr>
          <w:rFonts w:eastAsiaTheme="minorHAnsi"/>
          <w:lang w:eastAsia="en-US"/>
        </w:rPr>
      </w:pPr>
      <w:r w:rsidRPr="00BE000A">
        <w:rPr>
          <w:rFonts w:eastAsiaTheme="minorHAnsi"/>
          <w:lang w:eastAsia="en-US"/>
        </w:rPr>
        <w:t>ii. Më shumë informacion dhe mjete të unifikuara (protokolle) për trajtimin sipas standardeve të personave transgjinorë dhe interseks</w:t>
      </w:r>
      <w:r w:rsidR="00F8199B">
        <w:rPr>
          <w:rFonts w:eastAsiaTheme="minorHAnsi"/>
          <w:lang w:eastAsia="en-US"/>
        </w:rPr>
        <w:t>.</w:t>
      </w:r>
    </w:p>
    <w:p w:rsidR="0022472A" w:rsidRDefault="0022472A" w:rsidP="00E8012C">
      <w:pPr>
        <w:spacing w:line="276" w:lineRule="auto"/>
        <w:ind w:left="720" w:hanging="720"/>
        <w:jc w:val="both"/>
        <w:rPr>
          <w:rFonts w:eastAsiaTheme="minorHAnsi"/>
          <w:b/>
          <w:lang w:eastAsia="en-US"/>
        </w:rPr>
      </w:pPr>
    </w:p>
    <w:p w:rsidR="00E8012C" w:rsidRDefault="00E8012C" w:rsidP="00E8012C">
      <w:pPr>
        <w:spacing w:line="276" w:lineRule="auto"/>
        <w:ind w:left="720" w:hanging="720"/>
        <w:jc w:val="both"/>
        <w:rPr>
          <w:rFonts w:eastAsiaTheme="minorHAnsi"/>
          <w:b/>
          <w:lang w:eastAsia="en-US"/>
        </w:rPr>
      </w:pPr>
      <w:r w:rsidRPr="00B4480C">
        <w:rPr>
          <w:rFonts w:eastAsiaTheme="minorHAnsi"/>
          <w:b/>
          <w:lang w:eastAsia="en-US"/>
        </w:rPr>
        <w:t>Treguesit:</w:t>
      </w:r>
    </w:p>
    <w:p w:rsidR="0022472A" w:rsidRDefault="0022472A" w:rsidP="00E8012C">
      <w:pPr>
        <w:spacing w:line="276" w:lineRule="auto"/>
        <w:ind w:left="720" w:hanging="720"/>
        <w:jc w:val="both"/>
        <w:rPr>
          <w:rFonts w:eastAsiaTheme="minorHAnsi"/>
          <w:lang w:eastAsia="en-US"/>
        </w:rPr>
      </w:pPr>
      <w:r w:rsidRPr="00BE000A">
        <w:rPr>
          <w:rFonts w:eastAsiaTheme="minorHAnsi"/>
          <w:lang w:eastAsia="en-US"/>
        </w:rPr>
        <w:t>I.3.a.  Numri i punonjëseve dhe punonjësve të kujdesit shëndetësor parësor të trajnuar  për ofrimin e shërbimeve shëndetësore miqësore, cilësore dhe sipas standardeve për personat LGBTI+</w:t>
      </w:r>
      <w:r w:rsidR="00F8199B">
        <w:rPr>
          <w:rFonts w:eastAsiaTheme="minorHAnsi"/>
          <w:lang w:eastAsia="en-US"/>
        </w:rPr>
        <w:t>.</w:t>
      </w:r>
    </w:p>
    <w:p w:rsidR="001D462C" w:rsidRDefault="001D462C" w:rsidP="00E8012C">
      <w:pPr>
        <w:spacing w:line="276" w:lineRule="auto"/>
        <w:ind w:left="720" w:hanging="720"/>
        <w:jc w:val="both"/>
        <w:rPr>
          <w:rFonts w:eastAsiaTheme="minorHAnsi"/>
          <w:lang w:eastAsia="en-US"/>
        </w:rPr>
      </w:pPr>
      <w:r w:rsidRPr="001D462C">
        <w:rPr>
          <w:rFonts w:eastAsiaTheme="minorHAnsi"/>
          <w:lang w:eastAsia="en-US"/>
        </w:rPr>
        <w:t>I.3.b.  Numri i mjeteve të unifikuara (protokolle) për trajtimin sipas standardeve të personave transgjinorë dhe interseks</w:t>
      </w:r>
      <w:r w:rsidR="00F8199B">
        <w:rPr>
          <w:rFonts w:eastAsiaTheme="minorHAnsi"/>
          <w:lang w:eastAsia="en-US"/>
        </w:rPr>
        <w:t>.</w:t>
      </w:r>
    </w:p>
    <w:p w:rsidR="001D462C" w:rsidRPr="00BE000A" w:rsidRDefault="001D462C" w:rsidP="00E8012C">
      <w:pPr>
        <w:spacing w:line="276" w:lineRule="auto"/>
        <w:ind w:left="720" w:hanging="720"/>
        <w:jc w:val="both"/>
        <w:rPr>
          <w:rFonts w:eastAsiaTheme="minorHAnsi"/>
          <w:lang w:eastAsia="en-US"/>
        </w:rPr>
      </w:pPr>
    </w:p>
    <w:p w:rsidR="00E8012C" w:rsidRPr="00B4480C" w:rsidRDefault="00E8012C" w:rsidP="00E8012C">
      <w:pPr>
        <w:spacing w:line="276" w:lineRule="auto"/>
        <w:ind w:left="720" w:hanging="720"/>
        <w:jc w:val="both"/>
        <w:rPr>
          <w:rFonts w:eastAsiaTheme="minorHAnsi"/>
          <w:b/>
          <w:lang w:eastAsia="en-US"/>
        </w:rPr>
      </w:pPr>
      <w:r w:rsidRPr="00B4480C">
        <w:rPr>
          <w:rFonts w:eastAsiaTheme="minorHAnsi"/>
          <w:b/>
          <w:lang w:eastAsia="en-US"/>
        </w:rPr>
        <w:t>Masat:</w:t>
      </w:r>
    </w:p>
    <w:p w:rsidR="00D66D24" w:rsidRDefault="001D462C" w:rsidP="00BF02E2">
      <w:pPr>
        <w:tabs>
          <w:tab w:val="left" w:pos="720"/>
        </w:tabs>
        <w:spacing w:line="276" w:lineRule="auto"/>
        <w:ind w:left="720" w:hanging="720"/>
        <w:jc w:val="both"/>
        <w:rPr>
          <w:lang w:val="en-US"/>
        </w:rPr>
      </w:pPr>
      <w:r w:rsidRPr="001D462C">
        <w:rPr>
          <w:lang w:val="en-US"/>
        </w:rPr>
        <w:t>I.3.1. Fuqizimi i kapaciteteve të profesionisteve dhe profesionistëve të shërbimit të kujdesit shëndetësor parësor, për trajtimin në mënyrën e duhur dhe ofrimin e shërbimeve shëndetësore cilësore për personat LGBTI+.</w:t>
      </w:r>
    </w:p>
    <w:p w:rsidR="001D462C" w:rsidRDefault="00F8199B" w:rsidP="00BF02E2">
      <w:pPr>
        <w:tabs>
          <w:tab w:val="left" w:pos="720"/>
        </w:tabs>
        <w:spacing w:line="276" w:lineRule="auto"/>
        <w:ind w:left="720" w:hanging="720"/>
        <w:jc w:val="both"/>
        <w:rPr>
          <w:lang w:val="en-US"/>
        </w:rPr>
      </w:pPr>
      <w:r>
        <w:rPr>
          <w:lang w:val="en-US"/>
        </w:rPr>
        <w:t>I</w:t>
      </w:r>
      <w:r w:rsidR="001D462C" w:rsidRPr="001D462C">
        <w:rPr>
          <w:lang w:val="en-US"/>
        </w:rPr>
        <w:t>.3.2: Ofrimi i shërbimeve miqësore, efektive dhe sipas standardeve për personat LGBTI+, sidomos për ata që pësojnë diskriminim të shumëfishtë brenda këtij grupi</w:t>
      </w:r>
      <w:r>
        <w:rPr>
          <w:lang w:val="en-US"/>
        </w:rPr>
        <w:t>.</w:t>
      </w:r>
    </w:p>
    <w:p w:rsidR="005A7817" w:rsidRDefault="005A7817" w:rsidP="00C70695">
      <w:pPr>
        <w:spacing w:line="276" w:lineRule="auto"/>
        <w:jc w:val="both"/>
        <w:rPr>
          <w:lang w:val="en-US"/>
        </w:rPr>
      </w:pPr>
    </w:p>
    <w:p w:rsidR="00C70695" w:rsidRPr="001B1D14" w:rsidRDefault="00C70695" w:rsidP="00C70695">
      <w:pPr>
        <w:spacing w:line="276" w:lineRule="auto"/>
        <w:jc w:val="both"/>
        <w:rPr>
          <w:bCs/>
        </w:rPr>
      </w:pPr>
    </w:p>
    <w:p w:rsidR="002522E4" w:rsidRPr="001B1D14" w:rsidRDefault="002522E4" w:rsidP="002522E4">
      <w:pPr>
        <w:tabs>
          <w:tab w:val="left" w:pos="0"/>
        </w:tabs>
        <w:spacing w:line="276" w:lineRule="auto"/>
        <w:jc w:val="both"/>
      </w:pPr>
      <w:r w:rsidRPr="007746E1">
        <w:t xml:space="preserve">Nën </w:t>
      </w:r>
      <w:r w:rsidRPr="007746E1">
        <w:rPr>
          <w:b/>
        </w:rPr>
        <w:t>objektivin specifik I.</w:t>
      </w:r>
      <w:r w:rsidR="005A7817" w:rsidRPr="007746E1">
        <w:rPr>
          <w:b/>
        </w:rPr>
        <w:t>4</w:t>
      </w:r>
      <w:r w:rsidRPr="007746E1">
        <w:t xml:space="preserve"> “</w:t>
      </w:r>
      <w:r w:rsidR="001D462C" w:rsidRPr="001D462C">
        <w:rPr>
          <w:b/>
        </w:rPr>
        <w:t>Zvogëlimi i barrierave që i mbajnë personat  LGBTI+ larg tregut të punës si dhe rritja e aksesit të tyre për punë të denjë edhe në sektorët jo-tradicionalë të punësimit, (në veçanti në shkencë, teknologji, inxhinieri, matematikë).</w:t>
      </w:r>
      <w:r w:rsidRPr="007746E1">
        <w:rPr>
          <w:b/>
        </w:rPr>
        <w:t>”</w:t>
      </w:r>
      <w:r w:rsidR="00565370" w:rsidRPr="007746E1">
        <w:rPr>
          <w:b/>
        </w:rPr>
        <w:t xml:space="preserve"> </w:t>
      </w:r>
      <w:r w:rsidRPr="007746E1">
        <w:t>janë parashikuar:</w:t>
      </w:r>
    </w:p>
    <w:p w:rsidR="001D462C" w:rsidRDefault="001D462C" w:rsidP="00E8012C">
      <w:pPr>
        <w:spacing w:line="276" w:lineRule="auto"/>
        <w:ind w:left="702" w:hanging="702"/>
        <w:jc w:val="both"/>
        <w:rPr>
          <w:b/>
          <w:bCs/>
        </w:rPr>
      </w:pPr>
    </w:p>
    <w:p w:rsidR="00E8012C" w:rsidRDefault="00E8012C" w:rsidP="00E8012C">
      <w:pPr>
        <w:spacing w:line="276" w:lineRule="auto"/>
        <w:ind w:left="702" w:hanging="702"/>
        <w:jc w:val="both"/>
        <w:rPr>
          <w:b/>
          <w:bCs/>
        </w:rPr>
      </w:pPr>
      <w:r w:rsidRPr="007746E1">
        <w:rPr>
          <w:b/>
          <w:bCs/>
        </w:rPr>
        <w:t>Rezultatet</w:t>
      </w:r>
      <w:r>
        <w:rPr>
          <w:b/>
          <w:bCs/>
        </w:rPr>
        <w:t xml:space="preserve"> e arritshme</w:t>
      </w:r>
      <w:r w:rsidRPr="007746E1">
        <w:rPr>
          <w:b/>
          <w:bCs/>
        </w:rPr>
        <w:t>:</w:t>
      </w:r>
    </w:p>
    <w:p w:rsidR="001D462C" w:rsidRDefault="001D462C" w:rsidP="00E8012C">
      <w:pPr>
        <w:spacing w:line="276" w:lineRule="auto"/>
        <w:ind w:left="702" w:hanging="702"/>
        <w:jc w:val="both"/>
        <w:rPr>
          <w:bCs/>
        </w:rPr>
      </w:pPr>
      <w:r w:rsidRPr="00BE000A">
        <w:rPr>
          <w:bCs/>
        </w:rPr>
        <w:t>i. Shërbimet e punësimit dhe formimit profesional më miqësore dhe gjithëpërfshirëse edhe për personat LGBTI+</w:t>
      </w:r>
      <w:r w:rsidR="00F8199B">
        <w:rPr>
          <w:bCs/>
        </w:rPr>
        <w:t>.</w:t>
      </w:r>
    </w:p>
    <w:p w:rsidR="001D462C" w:rsidRDefault="001D462C" w:rsidP="00E8012C">
      <w:pPr>
        <w:spacing w:line="276" w:lineRule="auto"/>
        <w:ind w:left="702" w:hanging="702"/>
        <w:jc w:val="both"/>
        <w:rPr>
          <w:bCs/>
        </w:rPr>
      </w:pPr>
      <w:r w:rsidRPr="001D462C">
        <w:rPr>
          <w:bCs/>
        </w:rPr>
        <w:t>ii. Më shumë persona LGBTI+ të përfshirë në tregun</w:t>
      </w:r>
      <w:r>
        <w:rPr>
          <w:bCs/>
        </w:rPr>
        <w:t xml:space="preserve"> </w:t>
      </w:r>
      <w:r w:rsidRPr="001D462C">
        <w:rPr>
          <w:bCs/>
        </w:rPr>
        <w:t>e  punës dhe të stimuluar për zhvillimin e ideve inovative të lidhur me ekonominë mjedisore dhe dixhitalizimin</w:t>
      </w:r>
      <w:r w:rsidR="00F8199B">
        <w:rPr>
          <w:bCs/>
        </w:rPr>
        <w:t>.</w:t>
      </w:r>
    </w:p>
    <w:p w:rsidR="001D462C" w:rsidRPr="00BE000A" w:rsidRDefault="001D462C" w:rsidP="00E8012C">
      <w:pPr>
        <w:spacing w:line="276" w:lineRule="auto"/>
        <w:ind w:left="702" w:hanging="702"/>
        <w:jc w:val="both"/>
        <w:rPr>
          <w:bCs/>
        </w:rPr>
      </w:pPr>
    </w:p>
    <w:p w:rsidR="00E8012C" w:rsidRDefault="00E8012C" w:rsidP="00E8012C">
      <w:pPr>
        <w:spacing w:line="276" w:lineRule="auto"/>
        <w:ind w:left="720" w:hanging="720"/>
        <w:jc w:val="both"/>
        <w:rPr>
          <w:rFonts w:eastAsiaTheme="minorHAnsi"/>
          <w:b/>
          <w:lang w:eastAsia="en-US"/>
        </w:rPr>
      </w:pPr>
      <w:r w:rsidRPr="00B4480C">
        <w:rPr>
          <w:rFonts w:eastAsiaTheme="minorHAnsi"/>
          <w:b/>
          <w:lang w:eastAsia="en-US"/>
        </w:rPr>
        <w:t>Treguesit:</w:t>
      </w:r>
    </w:p>
    <w:p w:rsidR="001D462C" w:rsidRDefault="001D462C" w:rsidP="00E8012C">
      <w:pPr>
        <w:spacing w:line="276" w:lineRule="auto"/>
        <w:ind w:left="720" w:hanging="720"/>
        <w:jc w:val="both"/>
        <w:rPr>
          <w:rFonts w:eastAsiaTheme="minorHAnsi"/>
          <w:lang w:eastAsia="en-US"/>
        </w:rPr>
      </w:pPr>
      <w:r w:rsidRPr="00BE000A">
        <w:rPr>
          <w:rFonts w:eastAsiaTheme="minorHAnsi"/>
          <w:lang w:eastAsia="en-US"/>
        </w:rPr>
        <w:lastRenderedPageBreak/>
        <w:t>I.4.a. Numri i punonjëseve dhe punonjësve të shërbimeve në fushën e punësimit të trajnuar dhe përgatitur për ofrimin e shërbimeve të punësimit në mënyrë jo-diskriminuese për personat LGBTI+</w:t>
      </w:r>
      <w:r w:rsidR="00F8199B">
        <w:rPr>
          <w:rFonts w:eastAsiaTheme="minorHAnsi"/>
          <w:lang w:eastAsia="en-US"/>
        </w:rPr>
        <w:t>.</w:t>
      </w:r>
    </w:p>
    <w:p w:rsidR="001D462C" w:rsidRPr="00C70695" w:rsidRDefault="001D462C" w:rsidP="00C70695">
      <w:pPr>
        <w:spacing w:line="276" w:lineRule="auto"/>
        <w:ind w:left="720" w:hanging="720"/>
        <w:jc w:val="both"/>
        <w:rPr>
          <w:rFonts w:eastAsiaTheme="minorHAnsi"/>
          <w:lang w:eastAsia="en-US"/>
        </w:rPr>
      </w:pPr>
      <w:r w:rsidRPr="001D462C">
        <w:rPr>
          <w:rFonts w:eastAsiaTheme="minorHAnsi"/>
          <w:lang w:eastAsia="en-US"/>
        </w:rPr>
        <w:t>I.4.b. Numri i personave LGBTI+ të subvencionuar për zhv</w:t>
      </w:r>
      <w:r>
        <w:rPr>
          <w:rFonts w:eastAsiaTheme="minorHAnsi"/>
          <w:lang w:eastAsia="en-US"/>
        </w:rPr>
        <w:t>illimin e ideve inovatore me fo</w:t>
      </w:r>
      <w:r w:rsidRPr="001D462C">
        <w:rPr>
          <w:rFonts w:eastAsiaTheme="minorHAnsi"/>
          <w:lang w:eastAsia="en-US"/>
        </w:rPr>
        <w:t>kus tek dixhitalizimi dhe ekonomia mjedisore</w:t>
      </w:r>
      <w:r w:rsidR="00F8199B">
        <w:rPr>
          <w:rFonts w:eastAsiaTheme="minorHAnsi"/>
          <w:lang w:eastAsia="en-US"/>
        </w:rPr>
        <w:t>.</w:t>
      </w:r>
    </w:p>
    <w:p w:rsidR="00E8012C" w:rsidRPr="00B4480C" w:rsidRDefault="00F53336" w:rsidP="00E8012C">
      <w:pPr>
        <w:spacing w:line="276" w:lineRule="auto"/>
        <w:ind w:left="720" w:hanging="720"/>
        <w:jc w:val="both"/>
        <w:rPr>
          <w:rFonts w:eastAsiaTheme="minorHAnsi"/>
          <w:b/>
          <w:lang w:eastAsia="en-US"/>
        </w:rPr>
      </w:pPr>
      <w:r>
        <w:rPr>
          <w:rFonts w:eastAsiaTheme="minorHAnsi"/>
          <w:b/>
          <w:lang w:eastAsia="en-US"/>
        </w:rPr>
        <w:t>Masa</w:t>
      </w:r>
      <w:r w:rsidR="00E8012C" w:rsidRPr="00B4480C">
        <w:rPr>
          <w:rFonts w:eastAsiaTheme="minorHAnsi"/>
          <w:b/>
          <w:lang w:eastAsia="en-US"/>
        </w:rPr>
        <w:t>:</w:t>
      </w:r>
    </w:p>
    <w:p w:rsidR="002522E4" w:rsidRDefault="00F53336" w:rsidP="002522E4">
      <w:pPr>
        <w:tabs>
          <w:tab w:val="left" w:pos="720"/>
        </w:tabs>
        <w:spacing w:line="276" w:lineRule="auto"/>
        <w:ind w:left="720" w:hanging="720"/>
        <w:jc w:val="both"/>
        <w:rPr>
          <w:lang w:val="en-US"/>
        </w:rPr>
      </w:pPr>
      <w:r w:rsidRPr="00F53336">
        <w:rPr>
          <w:lang w:val="en-US"/>
        </w:rPr>
        <w:t>I.4.1. Nxitja e personave LGBTI+ të besojnë dhe aplikojnë për shërbimet e ofruara në fushën e punësimit dhe zhvillimit të sipërmarrjeve</w:t>
      </w:r>
      <w:r w:rsidR="00F8199B">
        <w:rPr>
          <w:lang w:val="en-US"/>
        </w:rPr>
        <w:t>.</w:t>
      </w:r>
    </w:p>
    <w:p w:rsidR="00F53336" w:rsidRPr="001B1D14" w:rsidRDefault="00F53336" w:rsidP="002522E4">
      <w:pPr>
        <w:tabs>
          <w:tab w:val="left" w:pos="720"/>
        </w:tabs>
        <w:spacing w:line="276" w:lineRule="auto"/>
        <w:ind w:left="720" w:hanging="720"/>
        <w:jc w:val="both"/>
        <w:rPr>
          <w:lang w:val="en-US"/>
        </w:rPr>
      </w:pPr>
    </w:p>
    <w:p w:rsidR="00654ED1" w:rsidRPr="00F8199B" w:rsidRDefault="00654ED1" w:rsidP="00BF02E2">
      <w:pPr>
        <w:pStyle w:val="ListParagraph"/>
        <w:spacing w:line="276" w:lineRule="auto"/>
        <w:ind w:left="0"/>
        <w:contextualSpacing w:val="0"/>
        <w:jc w:val="both"/>
        <w:outlineLvl w:val="1"/>
        <w:rPr>
          <w:b/>
          <w:color w:val="FF00FF"/>
          <w:u w:val="single"/>
        </w:rPr>
      </w:pPr>
      <w:bookmarkStart w:id="30" w:name="_Toc68774291"/>
      <w:bookmarkStart w:id="31" w:name="_Toc79509627"/>
      <w:r w:rsidRPr="00F8199B">
        <w:rPr>
          <w:b/>
          <w:color w:val="FF00FF"/>
          <w:u w:val="single"/>
        </w:rPr>
        <w:t>Politika II</w:t>
      </w:r>
      <w:bookmarkEnd w:id="30"/>
      <w:bookmarkEnd w:id="31"/>
    </w:p>
    <w:p w:rsidR="00654ED1" w:rsidRPr="007746E1" w:rsidRDefault="00654ED1" w:rsidP="00BF02E2">
      <w:pPr>
        <w:tabs>
          <w:tab w:val="left" w:pos="720"/>
        </w:tabs>
        <w:spacing w:line="276" w:lineRule="auto"/>
        <w:jc w:val="both"/>
        <w:rPr>
          <w:lang w:val="en-US"/>
        </w:rPr>
      </w:pPr>
    </w:p>
    <w:p w:rsidR="007354EE" w:rsidRPr="00F8199B" w:rsidRDefault="009911C2" w:rsidP="0068568E">
      <w:pPr>
        <w:pBdr>
          <w:top w:val="single" w:sz="4" w:space="1" w:color="auto"/>
          <w:left w:val="single" w:sz="4" w:space="4" w:color="auto"/>
          <w:bottom w:val="single" w:sz="4" w:space="1" w:color="auto"/>
          <w:right w:val="single" w:sz="4" w:space="4" w:color="auto"/>
        </w:pBdr>
        <w:spacing w:line="276" w:lineRule="auto"/>
        <w:jc w:val="both"/>
        <w:rPr>
          <w:color w:val="FF00FF"/>
        </w:rPr>
      </w:pPr>
      <w:r w:rsidRPr="00F8199B">
        <w:rPr>
          <w:b/>
          <w:color w:val="FF00FF"/>
        </w:rPr>
        <w:t>Q</w:t>
      </w:r>
      <w:r w:rsidR="003741E5" w:rsidRPr="00F8199B">
        <w:rPr>
          <w:b/>
          <w:color w:val="FF00FF"/>
        </w:rPr>
        <w:t>ë</w:t>
      </w:r>
      <w:r w:rsidR="00654ED1" w:rsidRPr="00F8199B">
        <w:rPr>
          <w:b/>
          <w:color w:val="FF00FF"/>
        </w:rPr>
        <w:t xml:space="preserve">llimi </w:t>
      </w:r>
      <w:r w:rsidR="007A1B9A" w:rsidRPr="00F8199B">
        <w:rPr>
          <w:b/>
          <w:color w:val="FF00FF"/>
        </w:rPr>
        <w:t>Strategjik</w:t>
      </w:r>
      <w:r w:rsidR="00654ED1" w:rsidRPr="00F8199B">
        <w:rPr>
          <w:b/>
          <w:color w:val="FF00FF"/>
        </w:rPr>
        <w:t xml:space="preserve"> </w:t>
      </w:r>
      <w:r w:rsidR="0017726C" w:rsidRPr="00F8199B">
        <w:rPr>
          <w:b/>
          <w:color w:val="FF00FF"/>
        </w:rPr>
        <w:t>II</w:t>
      </w:r>
      <w:r w:rsidR="006A0115" w:rsidRPr="00F8199B">
        <w:rPr>
          <w:b/>
          <w:color w:val="FF00FF"/>
        </w:rPr>
        <w:t xml:space="preserve"> </w:t>
      </w:r>
      <w:r w:rsidRPr="00F8199B">
        <w:rPr>
          <w:b/>
          <w:color w:val="FF00FF"/>
        </w:rPr>
        <w:t>-</w:t>
      </w:r>
      <w:r w:rsidR="006A0115" w:rsidRPr="00F8199B">
        <w:rPr>
          <w:b/>
          <w:color w:val="FF00FF"/>
        </w:rPr>
        <w:t xml:space="preserve"> </w:t>
      </w:r>
      <w:r w:rsidR="0068568E" w:rsidRPr="00F8199B">
        <w:rPr>
          <w:b/>
          <w:color w:val="FF00FF"/>
        </w:rPr>
        <w:t xml:space="preserve">Garantimi i mbrojtjes dhe sigurisë për personat LGBTI+ përmes përmirësimit të kuadrit ligjor, zbatimit efektiv të tij, si dhe rritjes së aksesit të personave LGBTI+ në sistemin e drejtësisë </w:t>
      </w:r>
    </w:p>
    <w:p w:rsidR="0068568E" w:rsidRDefault="0068568E" w:rsidP="00BF02E2">
      <w:pPr>
        <w:autoSpaceDE w:val="0"/>
        <w:autoSpaceDN w:val="0"/>
        <w:adjustRightInd w:val="0"/>
        <w:spacing w:line="276" w:lineRule="auto"/>
        <w:jc w:val="both"/>
      </w:pPr>
    </w:p>
    <w:p w:rsidR="00B40C40" w:rsidRPr="007746E1" w:rsidRDefault="00B40C40" w:rsidP="00BF02E2">
      <w:pPr>
        <w:autoSpaceDE w:val="0"/>
        <w:autoSpaceDN w:val="0"/>
        <w:adjustRightInd w:val="0"/>
        <w:spacing w:line="276" w:lineRule="auto"/>
        <w:jc w:val="both"/>
      </w:pPr>
      <w:r w:rsidRPr="007746E1">
        <w:t>Bazuar n</w:t>
      </w:r>
      <w:r w:rsidR="008440AA" w:rsidRPr="007746E1">
        <w:t>ë</w:t>
      </w:r>
      <w:r w:rsidRPr="007746E1">
        <w:t xml:space="preserve"> gjetjet nga vler</w:t>
      </w:r>
      <w:r w:rsidR="008440AA" w:rsidRPr="007746E1">
        <w:t>ë</w:t>
      </w:r>
      <w:r w:rsidRPr="007746E1">
        <w:t xml:space="preserve">simi i </w:t>
      </w:r>
      <w:r w:rsidR="00034FCE" w:rsidRPr="007746E1">
        <w:t xml:space="preserve">PKV </w:t>
      </w:r>
      <w:r w:rsidRPr="007746E1">
        <w:t>2016-2020 n</w:t>
      </w:r>
      <w:r w:rsidR="008440AA" w:rsidRPr="007746E1">
        <w:t>ë</w:t>
      </w:r>
      <w:r w:rsidRPr="007746E1">
        <w:t xml:space="preserve"> lidhje me p</w:t>
      </w:r>
      <w:r w:rsidR="008440AA" w:rsidRPr="007746E1">
        <w:t>ë</w:t>
      </w:r>
      <w:r w:rsidRPr="007746E1">
        <w:t>rmbushjen e q</w:t>
      </w:r>
      <w:r w:rsidR="008440AA" w:rsidRPr="007746E1">
        <w:t>ë</w:t>
      </w:r>
      <w:r w:rsidRPr="007746E1">
        <w:t>llimit strat</w:t>
      </w:r>
      <w:r w:rsidR="008440AA" w:rsidRPr="007746E1">
        <w:t>e</w:t>
      </w:r>
      <w:r w:rsidRPr="007746E1">
        <w:t xml:space="preserve">gjik </w:t>
      </w:r>
      <w:r w:rsidR="00034FCE" w:rsidRPr="007746E1">
        <w:t>1</w:t>
      </w:r>
      <w:r w:rsidRPr="007746E1">
        <w:t xml:space="preserve"> t</w:t>
      </w:r>
      <w:r w:rsidR="008440AA" w:rsidRPr="007746E1">
        <w:t>ë</w:t>
      </w:r>
      <w:r w:rsidRPr="007746E1">
        <w:t xml:space="preserve"> saj “</w:t>
      </w:r>
      <w:r w:rsidR="00034FCE" w:rsidRPr="007746E1">
        <w:t>Korniza ligjore dhe ins</w:t>
      </w:r>
      <w:r w:rsidR="00143454">
        <w:t>t</w:t>
      </w:r>
      <w:r w:rsidR="00034FCE" w:rsidRPr="007746E1">
        <w:t>itucionale</w:t>
      </w:r>
      <w:r w:rsidRPr="007746E1">
        <w:t>”</w:t>
      </w:r>
      <w:r w:rsidR="008440AA" w:rsidRPr="007746E1">
        <w:t>,</w:t>
      </w:r>
      <w:r w:rsidR="006A0115" w:rsidRPr="007746E1">
        <w:t xml:space="preserve"> </w:t>
      </w:r>
      <w:r w:rsidR="008440AA" w:rsidRPr="007746E1">
        <w:t xml:space="preserve">në këtë </w:t>
      </w:r>
      <w:r w:rsidR="00034FCE" w:rsidRPr="007746E1">
        <w:t>PKV</w:t>
      </w:r>
      <w:r w:rsidR="008440AA" w:rsidRPr="007746E1">
        <w:t xml:space="preserve"> është vënë theksi kryesisht në</w:t>
      </w:r>
      <w:r w:rsidR="00034FCE" w:rsidRPr="007746E1">
        <w:t xml:space="preserve"> </w:t>
      </w:r>
      <w:r w:rsidR="00034FCE" w:rsidRPr="007746E1">
        <w:rPr>
          <w:bCs/>
        </w:rPr>
        <w:t xml:space="preserve">përafrimin e legjislacionit në lidhje me personat </w:t>
      </w:r>
      <w:r w:rsidR="00466064">
        <w:rPr>
          <w:bCs/>
        </w:rPr>
        <w:t>LGBTI</w:t>
      </w:r>
      <w:r w:rsidR="0068568E">
        <w:rPr>
          <w:bCs/>
        </w:rPr>
        <w:t>+</w:t>
      </w:r>
      <w:r w:rsidR="00034FCE" w:rsidRPr="007746E1">
        <w:rPr>
          <w:bCs/>
        </w:rPr>
        <w:t xml:space="preserve"> me standardet evropiane</w:t>
      </w:r>
      <w:r w:rsidR="0017726C">
        <w:rPr>
          <w:bCs/>
        </w:rPr>
        <w:t>, si dhe n</w:t>
      </w:r>
      <w:r w:rsidR="008551B5">
        <w:rPr>
          <w:bCs/>
        </w:rPr>
        <w:t>ë</w:t>
      </w:r>
      <w:r w:rsidR="0017726C">
        <w:rPr>
          <w:bCs/>
        </w:rPr>
        <w:t xml:space="preserve"> mund</w:t>
      </w:r>
      <w:r w:rsidR="008551B5">
        <w:rPr>
          <w:bCs/>
        </w:rPr>
        <w:t>ë</w:t>
      </w:r>
      <w:r w:rsidR="0017726C">
        <w:rPr>
          <w:bCs/>
        </w:rPr>
        <w:t>sin</w:t>
      </w:r>
      <w:r w:rsidR="008551B5">
        <w:rPr>
          <w:bCs/>
        </w:rPr>
        <w:t>ë</w:t>
      </w:r>
      <w:r w:rsidR="0017726C">
        <w:rPr>
          <w:bCs/>
        </w:rPr>
        <w:t xml:space="preserve"> p</w:t>
      </w:r>
      <w:r w:rsidR="008551B5">
        <w:rPr>
          <w:bCs/>
        </w:rPr>
        <w:t>ë</w:t>
      </w:r>
      <w:r w:rsidR="0017726C">
        <w:rPr>
          <w:bCs/>
        </w:rPr>
        <w:t>r rritjen e aksesit t</w:t>
      </w:r>
      <w:r w:rsidR="008551B5">
        <w:rPr>
          <w:bCs/>
        </w:rPr>
        <w:t>ë</w:t>
      </w:r>
      <w:r w:rsidR="0017726C">
        <w:rPr>
          <w:bCs/>
        </w:rPr>
        <w:t xml:space="preserve"> personave LGBTI+ n</w:t>
      </w:r>
      <w:r w:rsidR="008551B5">
        <w:rPr>
          <w:bCs/>
        </w:rPr>
        <w:t>ë</w:t>
      </w:r>
      <w:r w:rsidR="0017726C">
        <w:rPr>
          <w:bCs/>
        </w:rPr>
        <w:t xml:space="preserve"> sistemin e  drejt</w:t>
      </w:r>
      <w:r w:rsidR="008551B5">
        <w:rPr>
          <w:bCs/>
        </w:rPr>
        <w:t>ë</w:t>
      </w:r>
      <w:r w:rsidR="0017726C">
        <w:rPr>
          <w:bCs/>
        </w:rPr>
        <w:t>sis</w:t>
      </w:r>
      <w:r w:rsidR="008551B5">
        <w:rPr>
          <w:bCs/>
        </w:rPr>
        <w:t>ë</w:t>
      </w:r>
      <w:r w:rsidR="0017726C">
        <w:rPr>
          <w:bCs/>
        </w:rPr>
        <w:t xml:space="preserve"> p</w:t>
      </w:r>
      <w:r w:rsidR="008551B5">
        <w:rPr>
          <w:bCs/>
        </w:rPr>
        <w:t>ë</w:t>
      </w:r>
      <w:r w:rsidR="0017726C">
        <w:rPr>
          <w:bCs/>
        </w:rPr>
        <w:t>rmes fuqizimit t</w:t>
      </w:r>
      <w:r w:rsidR="008551B5">
        <w:rPr>
          <w:bCs/>
        </w:rPr>
        <w:t>ë</w:t>
      </w:r>
      <w:r w:rsidR="0017726C">
        <w:rPr>
          <w:bCs/>
        </w:rPr>
        <w:t xml:space="preserve"> kapaciteteve t</w:t>
      </w:r>
      <w:r w:rsidR="008551B5">
        <w:rPr>
          <w:bCs/>
        </w:rPr>
        <w:t>ë</w:t>
      </w:r>
      <w:r w:rsidR="0017726C">
        <w:rPr>
          <w:bCs/>
        </w:rPr>
        <w:t xml:space="preserve"> profesionisteve e profesionist</w:t>
      </w:r>
      <w:r w:rsidR="008551B5">
        <w:rPr>
          <w:bCs/>
        </w:rPr>
        <w:t>ë</w:t>
      </w:r>
      <w:r w:rsidR="0017726C">
        <w:rPr>
          <w:bCs/>
        </w:rPr>
        <w:t>ve t</w:t>
      </w:r>
      <w:r w:rsidR="008551B5">
        <w:rPr>
          <w:bCs/>
        </w:rPr>
        <w:t>ë</w:t>
      </w:r>
      <w:r w:rsidR="0017726C">
        <w:rPr>
          <w:bCs/>
        </w:rPr>
        <w:t xml:space="preserve"> drejt</w:t>
      </w:r>
      <w:r w:rsidR="008551B5">
        <w:rPr>
          <w:bCs/>
        </w:rPr>
        <w:t>ë</w:t>
      </w:r>
      <w:r w:rsidR="0017726C">
        <w:rPr>
          <w:bCs/>
        </w:rPr>
        <w:t>sis</w:t>
      </w:r>
      <w:r w:rsidR="008551B5">
        <w:rPr>
          <w:bCs/>
        </w:rPr>
        <w:t>ë</w:t>
      </w:r>
      <w:r w:rsidR="0017726C">
        <w:rPr>
          <w:bCs/>
        </w:rPr>
        <w:t xml:space="preserve"> dhe policimit p</w:t>
      </w:r>
      <w:r w:rsidR="008551B5">
        <w:rPr>
          <w:bCs/>
        </w:rPr>
        <w:t>ë</w:t>
      </w:r>
      <w:r w:rsidR="0017726C">
        <w:rPr>
          <w:bCs/>
        </w:rPr>
        <w:t>r trajtimin e rasteve t</w:t>
      </w:r>
      <w:r w:rsidR="008551B5">
        <w:rPr>
          <w:bCs/>
        </w:rPr>
        <w:t>ë</w:t>
      </w:r>
      <w:r w:rsidR="0017726C">
        <w:rPr>
          <w:bCs/>
        </w:rPr>
        <w:t xml:space="preserve"> personave LGBTI+ n</w:t>
      </w:r>
      <w:r w:rsidR="008551B5">
        <w:rPr>
          <w:bCs/>
        </w:rPr>
        <w:t>ë</w:t>
      </w:r>
      <w:r w:rsidR="0017726C">
        <w:rPr>
          <w:bCs/>
        </w:rPr>
        <w:t xml:space="preserve"> m</w:t>
      </w:r>
      <w:r w:rsidR="008551B5">
        <w:rPr>
          <w:bCs/>
        </w:rPr>
        <w:t>ë</w:t>
      </w:r>
      <w:r w:rsidR="0017726C">
        <w:rPr>
          <w:bCs/>
        </w:rPr>
        <w:t>nyr</w:t>
      </w:r>
      <w:r w:rsidR="008551B5">
        <w:rPr>
          <w:bCs/>
        </w:rPr>
        <w:t>ë</w:t>
      </w:r>
      <w:r w:rsidR="0017726C">
        <w:rPr>
          <w:bCs/>
        </w:rPr>
        <w:t>n e duhur, me profesinaliz</w:t>
      </w:r>
      <w:r w:rsidR="008551B5">
        <w:rPr>
          <w:bCs/>
        </w:rPr>
        <w:t>ë</w:t>
      </w:r>
      <w:r w:rsidR="0017726C">
        <w:rPr>
          <w:bCs/>
        </w:rPr>
        <w:t>m dhe p</w:t>
      </w:r>
      <w:r w:rsidR="008551B5">
        <w:rPr>
          <w:bCs/>
        </w:rPr>
        <w:t>ë</w:t>
      </w:r>
      <w:r w:rsidR="0017726C">
        <w:rPr>
          <w:bCs/>
        </w:rPr>
        <w:t>rgjegjshm</w:t>
      </w:r>
      <w:r w:rsidR="008551B5">
        <w:rPr>
          <w:bCs/>
        </w:rPr>
        <w:t>ë</w:t>
      </w:r>
      <w:r w:rsidR="0017726C">
        <w:rPr>
          <w:bCs/>
        </w:rPr>
        <w:t xml:space="preserve">ri. </w:t>
      </w:r>
      <w:r w:rsidR="008440AA" w:rsidRPr="007746E1">
        <w:t xml:space="preserve"> </w:t>
      </w:r>
    </w:p>
    <w:p w:rsidR="00E04A0B" w:rsidRPr="007746E1" w:rsidRDefault="00E04A0B" w:rsidP="00BF02E2">
      <w:pPr>
        <w:autoSpaceDE w:val="0"/>
        <w:autoSpaceDN w:val="0"/>
        <w:adjustRightInd w:val="0"/>
        <w:spacing w:line="276" w:lineRule="auto"/>
        <w:jc w:val="both"/>
      </w:pPr>
    </w:p>
    <w:p w:rsidR="00E04A0B" w:rsidRPr="007746E1" w:rsidRDefault="00E04A0B" w:rsidP="00BF02E2">
      <w:pPr>
        <w:autoSpaceDE w:val="0"/>
        <w:autoSpaceDN w:val="0"/>
        <w:adjustRightInd w:val="0"/>
        <w:spacing w:line="276" w:lineRule="auto"/>
        <w:jc w:val="both"/>
      </w:pPr>
      <w:r w:rsidRPr="007746E1">
        <w:t xml:space="preserve">Tregues kryesor </w:t>
      </w:r>
      <w:r w:rsidR="0017726C">
        <w:t>i</w:t>
      </w:r>
      <w:r w:rsidRPr="007746E1">
        <w:t xml:space="preserve"> impaktit nën këtë qëllim strategjik</w:t>
      </w:r>
      <w:r w:rsidR="003A0475" w:rsidRPr="007746E1">
        <w:t xml:space="preserve"> </w:t>
      </w:r>
      <w:r w:rsidR="008551B5">
        <w:t>ë</w:t>
      </w:r>
      <w:r w:rsidR="0017726C">
        <w:t>sht</w:t>
      </w:r>
      <w:r w:rsidR="008551B5">
        <w:t>ë</w:t>
      </w:r>
      <w:r w:rsidRPr="007746E1">
        <w:t>:</w:t>
      </w:r>
    </w:p>
    <w:p w:rsidR="003A0475" w:rsidRPr="007746E1" w:rsidRDefault="0017726C" w:rsidP="00623BAD">
      <w:pPr>
        <w:pStyle w:val="ListParagraph"/>
        <w:numPr>
          <w:ilvl w:val="0"/>
          <w:numId w:val="9"/>
        </w:numPr>
        <w:autoSpaceDE w:val="0"/>
        <w:autoSpaceDN w:val="0"/>
        <w:adjustRightInd w:val="0"/>
        <w:spacing w:line="276" w:lineRule="auto"/>
        <w:jc w:val="both"/>
      </w:pPr>
      <w:r>
        <w:t>Numri i rasteve t</w:t>
      </w:r>
      <w:r w:rsidR="008551B5">
        <w:t>ë</w:t>
      </w:r>
      <w:r>
        <w:t xml:space="preserve"> personave LGBTI+ t</w:t>
      </w:r>
      <w:r w:rsidR="008551B5">
        <w:t>ë</w:t>
      </w:r>
      <w:r>
        <w:t xml:space="preserve"> diskriminuar/abuzuar, t</w:t>
      </w:r>
      <w:r w:rsidR="008551B5">
        <w:t>ë</w:t>
      </w:r>
      <w:r>
        <w:t xml:space="preserve"> denoncuara dhe trajtuara n</w:t>
      </w:r>
      <w:r w:rsidR="008551B5">
        <w:t>ë</w:t>
      </w:r>
      <w:r>
        <w:t xml:space="preserve"> p</w:t>
      </w:r>
      <w:r w:rsidR="008551B5">
        <w:t>ë</w:t>
      </w:r>
      <w:r>
        <w:t>rputhje me legjislacionin e p</w:t>
      </w:r>
      <w:r w:rsidR="008551B5">
        <w:t>ë</w:t>
      </w:r>
      <w:r>
        <w:t>rmir</w:t>
      </w:r>
      <w:r w:rsidR="008551B5">
        <w:t>ë</w:t>
      </w:r>
      <w:r>
        <w:t>suar n</w:t>
      </w:r>
      <w:r w:rsidR="008551B5">
        <w:t>ë</w:t>
      </w:r>
      <w:r>
        <w:t xml:space="preserve"> fuqi.</w:t>
      </w:r>
    </w:p>
    <w:p w:rsidR="003A0475" w:rsidRPr="001B1D14" w:rsidRDefault="003A0475" w:rsidP="003A0475">
      <w:pPr>
        <w:autoSpaceDE w:val="0"/>
        <w:autoSpaceDN w:val="0"/>
        <w:adjustRightInd w:val="0"/>
        <w:spacing w:line="276" w:lineRule="auto"/>
        <w:ind w:left="360"/>
        <w:jc w:val="both"/>
      </w:pPr>
    </w:p>
    <w:p w:rsidR="00B40C40" w:rsidRPr="007746E1" w:rsidRDefault="00B40C40" w:rsidP="00F8199B">
      <w:pPr>
        <w:autoSpaceDE w:val="0"/>
        <w:autoSpaceDN w:val="0"/>
        <w:adjustRightInd w:val="0"/>
        <w:spacing w:line="276" w:lineRule="auto"/>
        <w:jc w:val="both"/>
      </w:pPr>
      <w:r w:rsidRPr="007746E1">
        <w:t>Për arritjen e këtij qëllimi strategjik, institucionet shtetërore që kanë përgjegjësi në këtë fushë</w:t>
      </w:r>
      <w:r w:rsidR="00143454">
        <w:t>,</w:t>
      </w:r>
      <w:r w:rsidRPr="007746E1">
        <w:t xml:space="preserve"> në partneritet me institucione</w:t>
      </w:r>
      <w:r w:rsidR="0017726C">
        <w:t xml:space="preserve">t e pavarura </w:t>
      </w:r>
      <w:r w:rsidRPr="007746E1">
        <w:t xml:space="preserve"> dhe organizata</w:t>
      </w:r>
      <w:r w:rsidR="0017726C">
        <w:t>t e shoq</w:t>
      </w:r>
      <w:r w:rsidR="008551B5">
        <w:t>ë</w:t>
      </w:r>
      <w:r w:rsidR="0017726C">
        <w:t>ris</w:t>
      </w:r>
      <w:r w:rsidR="008551B5">
        <w:t>ë</w:t>
      </w:r>
      <w:r w:rsidR="0017726C">
        <w:t xml:space="preserve"> civile</w:t>
      </w:r>
      <w:r w:rsidR="00143454">
        <w:t>,</w:t>
      </w:r>
      <w:r w:rsidRPr="007746E1">
        <w:t xml:space="preserve"> do të fokusohen në këto objektiva specifikë:</w:t>
      </w:r>
    </w:p>
    <w:p w:rsidR="000F77A9" w:rsidRPr="007746E1" w:rsidRDefault="000F77A9" w:rsidP="00BF02E2">
      <w:pPr>
        <w:spacing w:line="276" w:lineRule="auto"/>
        <w:jc w:val="both"/>
      </w:pPr>
    </w:p>
    <w:tbl>
      <w:tblPr>
        <w:tblStyle w:val="ListTable6ColorfulAccent3"/>
        <w:tblW w:w="5081" w:type="pct"/>
        <w:tblLayout w:type="fixed"/>
        <w:tblLook w:val="04A0"/>
      </w:tblPr>
      <w:tblGrid>
        <w:gridCol w:w="1458"/>
        <w:gridCol w:w="7934"/>
      </w:tblGrid>
      <w:tr w:rsidR="00F8199B" w:rsidRPr="00F8199B" w:rsidTr="00F8199B">
        <w:trPr>
          <w:cnfStyle w:val="100000000000"/>
        </w:trPr>
        <w:tc>
          <w:tcPr>
            <w:cnfStyle w:val="001000000000"/>
            <w:tcW w:w="776" w:type="pct"/>
          </w:tcPr>
          <w:p w:rsidR="000F77A9" w:rsidRPr="00F8199B" w:rsidRDefault="000F77A9" w:rsidP="00BF02E2">
            <w:pPr>
              <w:spacing w:line="276" w:lineRule="auto"/>
              <w:rPr>
                <w:b w:val="0"/>
                <w:color w:val="FF00FF"/>
              </w:rPr>
            </w:pPr>
            <w:r w:rsidRPr="00F8199B">
              <w:rPr>
                <w:color w:val="FF00FF"/>
              </w:rPr>
              <w:t xml:space="preserve">Objektivi specifik </w:t>
            </w:r>
            <w:r w:rsidR="0017726C" w:rsidRPr="00F8199B">
              <w:rPr>
                <w:color w:val="FF00FF"/>
              </w:rPr>
              <w:t>II</w:t>
            </w:r>
            <w:r w:rsidR="008440AA" w:rsidRPr="00F8199B">
              <w:rPr>
                <w:color w:val="FF00FF"/>
              </w:rPr>
              <w:t>.1</w:t>
            </w:r>
            <w:r w:rsidRPr="00F8199B">
              <w:rPr>
                <w:color w:val="FF00FF"/>
              </w:rPr>
              <w:t xml:space="preserve">: </w:t>
            </w:r>
          </w:p>
        </w:tc>
        <w:tc>
          <w:tcPr>
            <w:tcW w:w="4224" w:type="pct"/>
          </w:tcPr>
          <w:p w:rsidR="000F77A9" w:rsidRPr="00F8199B" w:rsidRDefault="0017726C" w:rsidP="00F8199B">
            <w:pPr>
              <w:spacing w:line="276" w:lineRule="auto"/>
              <w:jc w:val="both"/>
              <w:cnfStyle w:val="100000000000"/>
              <w:rPr>
                <w:b w:val="0"/>
                <w:bCs w:val="0"/>
                <w:color w:val="FF00FF"/>
              </w:rPr>
            </w:pPr>
            <w:r w:rsidRPr="00F8199B">
              <w:rPr>
                <w:b w:val="0"/>
                <w:bCs w:val="0"/>
                <w:color w:val="FF00FF"/>
              </w:rPr>
              <w:t>Përforcimi i mbrojtjes ligjore për personat LGBTI</w:t>
            </w:r>
            <w:r w:rsidR="00F8199B">
              <w:rPr>
                <w:b w:val="0"/>
                <w:bCs w:val="0"/>
                <w:color w:val="FF00FF"/>
              </w:rPr>
              <w:t>+</w:t>
            </w:r>
            <w:r w:rsidRPr="00F8199B">
              <w:rPr>
                <w:b w:val="0"/>
                <w:bCs w:val="0"/>
                <w:color w:val="FF00FF"/>
              </w:rPr>
              <w:t xml:space="preserve"> kundër krimit të urrejtjes, gjuhës së urrejtjes dhe dhunës, nëpërmjet rishikimit dhe harmonizimit të legjilslacionit kombëtar me standardet evropiane/ndërkombëtare</w:t>
            </w:r>
            <w:r w:rsidR="00967181" w:rsidRPr="00F8199B">
              <w:rPr>
                <w:b w:val="0"/>
                <w:bCs w:val="0"/>
                <w:color w:val="FF00FF"/>
              </w:rPr>
              <w:t>.</w:t>
            </w:r>
          </w:p>
        </w:tc>
      </w:tr>
      <w:tr w:rsidR="00F8199B" w:rsidRPr="00F8199B" w:rsidTr="00F8199B">
        <w:trPr>
          <w:cnfStyle w:val="000000100000"/>
        </w:trPr>
        <w:tc>
          <w:tcPr>
            <w:cnfStyle w:val="001000000000"/>
            <w:tcW w:w="776" w:type="pct"/>
          </w:tcPr>
          <w:p w:rsidR="000F77A9" w:rsidRPr="00F8199B" w:rsidRDefault="000F77A9" w:rsidP="0017726C">
            <w:pPr>
              <w:spacing w:line="276" w:lineRule="auto"/>
              <w:rPr>
                <w:b w:val="0"/>
                <w:color w:val="FF00FF"/>
              </w:rPr>
            </w:pPr>
            <w:r w:rsidRPr="00F8199B">
              <w:rPr>
                <w:color w:val="FF00FF"/>
              </w:rPr>
              <w:t xml:space="preserve">Objektivi specifik </w:t>
            </w:r>
            <w:r w:rsidR="0017726C" w:rsidRPr="00F8199B">
              <w:rPr>
                <w:color w:val="FF00FF"/>
              </w:rPr>
              <w:t>II</w:t>
            </w:r>
            <w:r w:rsidR="008440AA" w:rsidRPr="00F8199B">
              <w:rPr>
                <w:color w:val="FF00FF"/>
              </w:rPr>
              <w:t>.</w:t>
            </w:r>
            <w:r w:rsidRPr="00F8199B">
              <w:rPr>
                <w:color w:val="FF00FF"/>
              </w:rPr>
              <w:t xml:space="preserve">2: </w:t>
            </w:r>
          </w:p>
        </w:tc>
        <w:tc>
          <w:tcPr>
            <w:tcW w:w="4224" w:type="pct"/>
          </w:tcPr>
          <w:p w:rsidR="000F77A9" w:rsidRPr="00F8199B" w:rsidRDefault="0017726C" w:rsidP="00BF02E2">
            <w:pPr>
              <w:spacing w:line="276" w:lineRule="auto"/>
              <w:jc w:val="both"/>
              <w:cnfStyle w:val="000000100000"/>
              <w:rPr>
                <w:bCs/>
                <w:color w:val="FF00FF"/>
              </w:rPr>
            </w:pPr>
            <w:r w:rsidRPr="00F8199B">
              <w:rPr>
                <w:bCs/>
                <w:color w:val="FF00FF"/>
              </w:rPr>
              <w:t>Zbatimi me profesionalizem dhe pa paragjykime i legjislacionit për të luftuar diskriminimin dhe krimin e urrejtjes ndaj personave LGBTI+.</w:t>
            </w:r>
          </w:p>
        </w:tc>
      </w:tr>
    </w:tbl>
    <w:p w:rsidR="0017726C" w:rsidRPr="001B1D14" w:rsidRDefault="0017726C" w:rsidP="00BF02E2">
      <w:pPr>
        <w:spacing w:line="276" w:lineRule="auto"/>
        <w:jc w:val="both"/>
      </w:pPr>
    </w:p>
    <w:p w:rsidR="007E0707" w:rsidRPr="001B1D14" w:rsidRDefault="007E0707" w:rsidP="00BF02E2">
      <w:pPr>
        <w:spacing w:line="276" w:lineRule="auto"/>
        <w:jc w:val="both"/>
      </w:pPr>
      <w:r w:rsidRPr="007746E1">
        <w:t>Përmbushja e këtyre objektivave specifikë do të rezultojë në</w:t>
      </w:r>
      <w:r w:rsidRPr="001B1D14">
        <w:t xml:space="preserve"> </w:t>
      </w:r>
      <w:r w:rsidR="00D04F4B" w:rsidRPr="007746E1">
        <w:t xml:space="preserve">përafrimin e legjislacionit në lidhje me sigurinë e personave </w:t>
      </w:r>
      <w:r w:rsidR="00466064">
        <w:t>LGBTI</w:t>
      </w:r>
      <w:r w:rsidR="0017726C">
        <w:t>+</w:t>
      </w:r>
      <w:r w:rsidR="00D04F4B" w:rsidRPr="001B1D14">
        <w:t xml:space="preserve">, </w:t>
      </w:r>
      <w:r w:rsidR="00D04F4B" w:rsidRPr="007746E1">
        <w:rPr>
          <w:bCs/>
        </w:rPr>
        <w:t xml:space="preserve">përafrimi i legjislacionit në lidhje me të drejtat e njeriut </w:t>
      </w:r>
      <w:r w:rsidR="00466064">
        <w:rPr>
          <w:bCs/>
        </w:rPr>
        <w:t>LGBTI</w:t>
      </w:r>
      <w:r w:rsidR="0017726C">
        <w:rPr>
          <w:bCs/>
        </w:rPr>
        <w:t>+</w:t>
      </w:r>
      <w:r w:rsidR="00D04F4B" w:rsidRPr="007746E1">
        <w:rPr>
          <w:bCs/>
        </w:rPr>
        <w:t>, duke përfshirë edhe të drejtat e familjes, të drejtën private ndërkombëtare, etj.</w:t>
      </w:r>
      <w:r w:rsidR="00143454">
        <w:rPr>
          <w:bCs/>
        </w:rPr>
        <w:t>,</w:t>
      </w:r>
      <w:r w:rsidR="00D04F4B" w:rsidRPr="007746E1">
        <w:rPr>
          <w:bCs/>
        </w:rPr>
        <w:t xml:space="preserve"> me standardet evropiane</w:t>
      </w:r>
      <w:r w:rsidR="00D04F4B" w:rsidRPr="001B1D14">
        <w:rPr>
          <w:bCs/>
        </w:rPr>
        <w:t xml:space="preserve">, </w:t>
      </w:r>
      <w:r w:rsidR="00D04F4B" w:rsidRPr="007746E1">
        <w:rPr>
          <w:bCs/>
        </w:rPr>
        <w:t xml:space="preserve">përafrimi i legjislacionit në lidhje me fuqizimin ekonomik të personave </w:t>
      </w:r>
      <w:r w:rsidR="00466064">
        <w:rPr>
          <w:bCs/>
        </w:rPr>
        <w:t>LGBTI</w:t>
      </w:r>
      <w:r w:rsidR="0017726C">
        <w:rPr>
          <w:bCs/>
        </w:rPr>
        <w:t>+</w:t>
      </w:r>
      <w:r w:rsidR="00D04F4B" w:rsidRPr="007746E1">
        <w:rPr>
          <w:bCs/>
        </w:rPr>
        <w:t xml:space="preserve"> me standardet evropiane</w:t>
      </w:r>
      <w:r w:rsidR="00C17743" w:rsidRPr="001B1D14">
        <w:rPr>
          <w:bCs/>
        </w:rPr>
        <w:t xml:space="preserve">, </w:t>
      </w:r>
      <w:r w:rsidR="00C17743" w:rsidRPr="007746E1">
        <w:rPr>
          <w:bCs/>
        </w:rPr>
        <w:t xml:space="preserve">përafrimi i dispozitave të tjera ligjore në lidhje me </w:t>
      </w:r>
      <w:r w:rsidR="00466064">
        <w:rPr>
          <w:bCs/>
        </w:rPr>
        <w:t>LGBTI</w:t>
      </w:r>
      <w:r w:rsidR="0017726C">
        <w:rPr>
          <w:bCs/>
        </w:rPr>
        <w:t>+</w:t>
      </w:r>
      <w:r w:rsidR="00C17743" w:rsidRPr="007746E1">
        <w:rPr>
          <w:bCs/>
        </w:rPr>
        <w:t xml:space="preserve"> me standardet evropiane</w:t>
      </w:r>
      <w:r w:rsidR="00C17743" w:rsidRPr="001B1D14">
        <w:rPr>
          <w:bCs/>
        </w:rPr>
        <w:t xml:space="preserve">, </w:t>
      </w:r>
      <w:r w:rsidR="00A802B4" w:rsidRPr="007746E1">
        <w:rPr>
          <w:bCs/>
        </w:rPr>
        <w:t>z</w:t>
      </w:r>
      <w:r w:rsidR="00C17743" w:rsidRPr="007746E1">
        <w:rPr>
          <w:bCs/>
        </w:rPr>
        <w:t>batimi</w:t>
      </w:r>
      <w:r w:rsidR="00A802B4" w:rsidRPr="007746E1">
        <w:rPr>
          <w:bCs/>
        </w:rPr>
        <w:t>n</w:t>
      </w:r>
      <w:r w:rsidR="00C17743" w:rsidRPr="007746E1">
        <w:rPr>
          <w:bCs/>
        </w:rPr>
        <w:t xml:space="preserve"> </w:t>
      </w:r>
      <w:r w:rsidR="00143454">
        <w:rPr>
          <w:bCs/>
        </w:rPr>
        <w:t xml:space="preserve">efektiv </w:t>
      </w:r>
      <w:r w:rsidR="00C17743" w:rsidRPr="007746E1">
        <w:rPr>
          <w:bCs/>
        </w:rPr>
        <w:t xml:space="preserve"> </w:t>
      </w:r>
      <w:r w:rsidR="00A802B4" w:rsidRPr="007746E1">
        <w:rPr>
          <w:bCs/>
        </w:rPr>
        <w:t xml:space="preserve">të </w:t>
      </w:r>
      <w:r w:rsidR="00C17743" w:rsidRPr="007746E1">
        <w:rPr>
          <w:bCs/>
        </w:rPr>
        <w:t xml:space="preserve">legjislacionit për të luftuar diskriminimin dhe krimin e urrejtjes ndaj personave </w:t>
      </w:r>
      <w:r w:rsidR="00466064">
        <w:rPr>
          <w:bCs/>
        </w:rPr>
        <w:t>LGBTI</w:t>
      </w:r>
      <w:r w:rsidR="0017726C">
        <w:rPr>
          <w:bCs/>
        </w:rPr>
        <w:t>+</w:t>
      </w:r>
      <w:r w:rsidR="00A802B4" w:rsidRPr="007746E1">
        <w:rPr>
          <w:bCs/>
        </w:rPr>
        <w:t xml:space="preserve"> </w:t>
      </w:r>
      <w:r w:rsidR="0017726C">
        <w:rPr>
          <w:bCs/>
        </w:rPr>
        <w:t xml:space="preserve">etj. </w:t>
      </w:r>
      <w:r w:rsidR="00C17743" w:rsidRPr="004A2C73">
        <w:rPr>
          <w:bCs/>
        </w:rPr>
        <w:t>.</w:t>
      </w:r>
      <w:r w:rsidR="00215B9F" w:rsidRPr="004A2C73">
        <w:rPr>
          <w:bCs/>
        </w:rPr>
        <w:t xml:space="preserve"> P</w:t>
      </w:r>
      <w:r w:rsidR="00215B9F" w:rsidRPr="004A2C73">
        <w:t xml:space="preserve">ërmbushja e këtyre </w:t>
      </w:r>
      <w:r w:rsidR="00215B9F" w:rsidRPr="004A2C73">
        <w:lastRenderedPageBreak/>
        <w:t xml:space="preserve">objektivave specifikë do të </w:t>
      </w:r>
      <w:r w:rsidR="003B4DF7" w:rsidRPr="004A2C73">
        <w:t>lidhet ngushtë dhe me Objektivin Specifik 3.1. të Strat</w:t>
      </w:r>
      <w:r w:rsidR="00216A8C" w:rsidRPr="004A2C73">
        <w:t>e</w:t>
      </w:r>
      <w:r w:rsidR="003B4DF7" w:rsidRPr="004A2C73">
        <w:t>gjisë N</w:t>
      </w:r>
      <w:r w:rsidR="0081273F" w:rsidRPr="004A2C73">
        <w:t>d</w:t>
      </w:r>
      <w:r w:rsidR="003B4DF7" w:rsidRPr="004A2C73">
        <w:t>ërsekto</w:t>
      </w:r>
      <w:r w:rsidR="00216A8C" w:rsidRPr="004A2C73">
        <w:t>r</w:t>
      </w:r>
      <w:r w:rsidR="003B4DF7" w:rsidRPr="004A2C73">
        <w:t xml:space="preserve">ale të Drejtësisë </w:t>
      </w:r>
      <w:r w:rsidR="001F4FC8" w:rsidRPr="004A2C73">
        <w:t>(SND 2021-2025)</w:t>
      </w:r>
      <w:r w:rsidR="00216A8C" w:rsidRPr="004A2C73">
        <w:t xml:space="preserve"> që synon </w:t>
      </w:r>
      <w:r w:rsidR="00896C6E" w:rsidRPr="004A2C73">
        <w:t xml:space="preserve">rishikimin </w:t>
      </w:r>
      <w:r w:rsidR="00216A8C" w:rsidRPr="00DA312D">
        <w:t>e</w:t>
      </w:r>
      <w:r w:rsidR="00896C6E" w:rsidRPr="004A2C73">
        <w:t xml:space="preserve"> legjislacionit dhe m</w:t>
      </w:r>
      <w:r w:rsidR="00896C6E" w:rsidRPr="00DA312D">
        <w:t>ë në</w:t>
      </w:r>
      <w:r w:rsidR="00896C6E" w:rsidRPr="004A2C73">
        <w:t xml:space="preserve"> detaje ndryshimet në</w:t>
      </w:r>
      <w:r w:rsidR="00216A8C" w:rsidRPr="004A2C73">
        <w:t xml:space="preserve"> Kodit Penal dhe at</w:t>
      </w:r>
      <w:r w:rsidR="00896C6E" w:rsidRPr="004A2C73">
        <w:t>ë</w:t>
      </w:r>
      <w:r w:rsidR="00216A8C" w:rsidRPr="004A2C73">
        <w:t xml:space="preserve"> të Procedurës Penale.</w:t>
      </w:r>
      <w:r w:rsidR="00216A8C">
        <w:t xml:space="preserve"> </w:t>
      </w:r>
    </w:p>
    <w:p w:rsidR="00E04A0B" w:rsidRPr="001B1D14" w:rsidRDefault="00E04A0B" w:rsidP="00BF02E2">
      <w:pPr>
        <w:spacing w:line="276" w:lineRule="auto"/>
        <w:jc w:val="both"/>
      </w:pPr>
    </w:p>
    <w:p w:rsidR="00E04A0B" w:rsidRPr="001B1D14" w:rsidRDefault="00E04A0B" w:rsidP="00BF02E2">
      <w:pPr>
        <w:spacing w:line="276" w:lineRule="auto"/>
        <w:jc w:val="both"/>
      </w:pPr>
      <w:r w:rsidRPr="007746E1">
        <w:t xml:space="preserve">Kështu më konkretisht, nën </w:t>
      </w:r>
      <w:r w:rsidRPr="007746E1">
        <w:rPr>
          <w:b/>
        </w:rPr>
        <w:t xml:space="preserve">objektivin specifik </w:t>
      </w:r>
      <w:r w:rsidR="0017726C">
        <w:rPr>
          <w:b/>
        </w:rPr>
        <w:t>II</w:t>
      </w:r>
      <w:r w:rsidRPr="007746E1">
        <w:rPr>
          <w:b/>
        </w:rPr>
        <w:t>.1</w:t>
      </w:r>
      <w:r w:rsidRPr="007746E1">
        <w:t>. “</w:t>
      </w:r>
      <w:r w:rsidR="0017726C" w:rsidRPr="0017726C">
        <w:rPr>
          <w:b/>
          <w:bCs/>
        </w:rPr>
        <w:t>Përforcimi i mbroj</w:t>
      </w:r>
      <w:r w:rsidR="00FD1412">
        <w:rPr>
          <w:b/>
          <w:bCs/>
        </w:rPr>
        <w:t>tjes ligjore për personat LGBTI+</w:t>
      </w:r>
      <w:r w:rsidR="0017726C" w:rsidRPr="0017726C">
        <w:rPr>
          <w:b/>
          <w:bCs/>
        </w:rPr>
        <w:t xml:space="preserve"> kundër krimit të urrejtjes, gjuhës së urrejtjes dhe dhunës, nëpërmjet rishikimit dhe harmonizimit të legjilslacionit kombëtar me standardet evropiane/ndërkombëtare</w:t>
      </w:r>
      <w:r w:rsidRPr="007746E1">
        <w:rPr>
          <w:b/>
        </w:rPr>
        <w:t>”</w:t>
      </w:r>
      <w:r w:rsidR="004E6B4B" w:rsidRPr="007746E1">
        <w:rPr>
          <w:b/>
        </w:rPr>
        <w:t xml:space="preserve"> </w:t>
      </w:r>
      <w:r w:rsidRPr="007746E1">
        <w:t>janë parashikuar:</w:t>
      </w:r>
    </w:p>
    <w:p w:rsidR="00977718" w:rsidRPr="001B1D14" w:rsidRDefault="00977718" w:rsidP="00BF02E2">
      <w:pPr>
        <w:spacing w:line="276" w:lineRule="auto"/>
        <w:jc w:val="both"/>
      </w:pPr>
    </w:p>
    <w:p w:rsidR="00C02083" w:rsidRPr="007746E1" w:rsidRDefault="000171F5" w:rsidP="00BF02E2">
      <w:pPr>
        <w:spacing w:line="276" w:lineRule="auto"/>
        <w:jc w:val="both"/>
        <w:rPr>
          <w:b/>
        </w:rPr>
      </w:pPr>
      <w:r w:rsidRPr="007746E1">
        <w:rPr>
          <w:b/>
        </w:rPr>
        <w:t>Rezultat</w:t>
      </w:r>
      <w:r w:rsidR="00BA738F">
        <w:rPr>
          <w:b/>
        </w:rPr>
        <w:t>i i arritsh</w:t>
      </w:r>
      <w:r w:rsidR="008551B5">
        <w:rPr>
          <w:b/>
        </w:rPr>
        <w:t>ë</w:t>
      </w:r>
      <w:r w:rsidR="00BA738F">
        <w:rPr>
          <w:b/>
        </w:rPr>
        <w:t>m</w:t>
      </w:r>
      <w:r w:rsidR="00C02083" w:rsidRPr="007746E1">
        <w:rPr>
          <w:b/>
        </w:rPr>
        <w:t>:</w:t>
      </w:r>
    </w:p>
    <w:p w:rsidR="00BA738F" w:rsidRDefault="00BA738F" w:rsidP="00BF02E2">
      <w:pPr>
        <w:spacing w:line="276" w:lineRule="auto"/>
        <w:jc w:val="both"/>
      </w:pPr>
      <w:r w:rsidRPr="00BA738F">
        <w:t>i. Legjislacion i përmirësuar, veçanërisht për të siguruar ndalimin e gjuhës dhe krimit të urrejtjes si dhe dhunës ndaj personave LGBTI+.</w:t>
      </w:r>
    </w:p>
    <w:p w:rsidR="00BA738F" w:rsidRDefault="00BA738F" w:rsidP="00BF02E2">
      <w:pPr>
        <w:spacing w:line="276" w:lineRule="auto"/>
        <w:jc w:val="both"/>
      </w:pPr>
    </w:p>
    <w:p w:rsidR="00BA738F" w:rsidRPr="00BE000A" w:rsidRDefault="00BA738F" w:rsidP="00BF02E2">
      <w:pPr>
        <w:spacing w:line="276" w:lineRule="auto"/>
        <w:jc w:val="both"/>
        <w:rPr>
          <w:b/>
        </w:rPr>
      </w:pPr>
      <w:r w:rsidRPr="00BA738F">
        <w:rPr>
          <w:b/>
        </w:rPr>
        <w:t>Treguesi</w:t>
      </w:r>
      <w:r w:rsidRPr="00BE000A">
        <w:rPr>
          <w:b/>
        </w:rPr>
        <w:t>:</w:t>
      </w:r>
    </w:p>
    <w:p w:rsidR="00BA738F" w:rsidRDefault="00BA738F" w:rsidP="00BF02E2">
      <w:pPr>
        <w:spacing w:line="276" w:lineRule="auto"/>
        <w:jc w:val="both"/>
      </w:pPr>
      <w:r w:rsidRPr="00BA738F">
        <w:t>II.1.a. Numri i propozimeve të dërguara dhe miratuara në lidhje me ndryshimet në legjislacionin civil dhe penal në RSH</w:t>
      </w:r>
      <w:r w:rsidR="00FD1412">
        <w:t>.</w:t>
      </w:r>
    </w:p>
    <w:p w:rsidR="00BA738F" w:rsidRDefault="00BA738F" w:rsidP="00BF02E2">
      <w:pPr>
        <w:spacing w:line="276" w:lineRule="auto"/>
        <w:jc w:val="both"/>
      </w:pPr>
    </w:p>
    <w:p w:rsidR="00BA738F" w:rsidRPr="00BE000A" w:rsidRDefault="00BA738F" w:rsidP="00BF02E2">
      <w:pPr>
        <w:spacing w:line="276" w:lineRule="auto"/>
        <w:jc w:val="both"/>
        <w:rPr>
          <w:b/>
        </w:rPr>
      </w:pPr>
      <w:r w:rsidRPr="00BE000A">
        <w:rPr>
          <w:b/>
        </w:rPr>
        <w:t>Masat:</w:t>
      </w:r>
    </w:p>
    <w:p w:rsidR="00BA738F" w:rsidRDefault="00BA738F" w:rsidP="00BF02E2">
      <w:pPr>
        <w:spacing w:line="276" w:lineRule="auto"/>
        <w:jc w:val="both"/>
      </w:pPr>
      <w:r w:rsidRPr="00BA738F">
        <w:t>II.1.1. Përmirësimi i legjislacionit penal për mbrojtje të personave LGBTI+ nga krimi i urrejtjes, gjuha e urrejtjes dhe dhuna (rishikimi i Kodit Penal)</w:t>
      </w:r>
      <w:r w:rsidR="00FD1412">
        <w:t>.</w:t>
      </w:r>
    </w:p>
    <w:p w:rsidR="00BA738F" w:rsidRDefault="00BA738F" w:rsidP="00BF02E2">
      <w:pPr>
        <w:spacing w:line="276" w:lineRule="auto"/>
        <w:jc w:val="both"/>
      </w:pPr>
      <w:r w:rsidRPr="00BA738F">
        <w:t>II.1.2. Përmirësimi i legjislacionit familjar (Kodi i Familjes) duke konsideruar edhe të drejtën ndërkombëtare private për të rregulluar njohjen e lidhjeve familjare në situata ndërkufitare.</w:t>
      </w:r>
    </w:p>
    <w:p w:rsidR="00BA738F" w:rsidRDefault="00BA738F" w:rsidP="00BF02E2">
      <w:pPr>
        <w:spacing w:line="276" w:lineRule="auto"/>
        <w:jc w:val="both"/>
      </w:pPr>
      <w:r w:rsidRPr="00BA738F">
        <w:t>II.1.3.</w:t>
      </w:r>
      <w:r w:rsidR="00FD1412">
        <w:t xml:space="preserve"> </w:t>
      </w:r>
      <w:r w:rsidRPr="00BA738F">
        <w:t>Përgatitja e disa ligjeve të reja për mbrojtjen e të drejtave të njeriut të personave LGBTI+, si Ligji për Njohjen e Identitetit Gjinor, aktet nënligjore për mbrojtjen e personave interseks në Shqipëri, si dhe rishikimi i disa ligjeve ekzistuese.</w:t>
      </w:r>
    </w:p>
    <w:p w:rsidR="00BA738F" w:rsidRDefault="00BA738F" w:rsidP="00BF02E2">
      <w:pPr>
        <w:spacing w:line="276" w:lineRule="auto"/>
        <w:jc w:val="both"/>
      </w:pPr>
      <w:r w:rsidRPr="00BA738F">
        <w:t>II.1.4. Përmirësimi i legjilsacionit në fushën e punësimit dhe përfshirja në të qartësisht e personave LGBTI+ si një grup që i përfiton të gjitha shërbimet e ofruara në fushën e punësimit dhe formimit profesional</w:t>
      </w:r>
      <w:r w:rsidR="00FD1412">
        <w:t>.</w:t>
      </w:r>
    </w:p>
    <w:p w:rsidR="00BA738F" w:rsidRDefault="00BA738F" w:rsidP="00BF02E2">
      <w:pPr>
        <w:spacing w:line="276" w:lineRule="auto"/>
        <w:jc w:val="both"/>
      </w:pPr>
      <w:r w:rsidRPr="00BA738F">
        <w:t>II.1.5. Analiza, përgatitja dhe miratimi i ndryshimeve të tjera ligjore n</w:t>
      </w:r>
      <w:r w:rsidR="00FD1412">
        <w:t>ë përputhje dhe me standardet (</w:t>
      </w:r>
      <w:r w:rsidRPr="00BA738F">
        <w:t>Ligjit për Azil</w:t>
      </w:r>
      <w:r w:rsidR="00FD1412">
        <w:t>in, Ligjit për Gjendjen Civile</w:t>
      </w:r>
      <w:r w:rsidRPr="00BA738F">
        <w:t>), etj</w:t>
      </w:r>
      <w:r w:rsidR="00FD1412">
        <w:t>.</w:t>
      </w:r>
    </w:p>
    <w:p w:rsidR="00E04A0B" w:rsidRDefault="00E04A0B" w:rsidP="00BF02E2">
      <w:pPr>
        <w:spacing w:line="276" w:lineRule="auto"/>
        <w:jc w:val="both"/>
      </w:pPr>
    </w:p>
    <w:p w:rsidR="00C70695" w:rsidRPr="007746E1" w:rsidRDefault="00C70695" w:rsidP="00BF02E2">
      <w:pPr>
        <w:spacing w:line="276" w:lineRule="auto"/>
        <w:jc w:val="both"/>
      </w:pPr>
    </w:p>
    <w:p w:rsidR="008A03C9" w:rsidRPr="007746E1" w:rsidRDefault="00C02083" w:rsidP="00BF02E2">
      <w:pPr>
        <w:spacing w:line="276" w:lineRule="auto"/>
        <w:jc w:val="both"/>
      </w:pPr>
      <w:r w:rsidRPr="007746E1">
        <w:rPr>
          <w:rStyle w:val="tlid-translation"/>
          <w:bCs/>
        </w:rPr>
        <w:t xml:space="preserve">Nën </w:t>
      </w:r>
      <w:r w:rsidRPr="007746E1">
        <w:rPr>
          <w:rStyle w:val="tlid-translation"/>
          <w:b/>
          <w:bCs/>
        </w:rPr>
        <w:t xml:space="preserve">objektivin specifik </w:t>
      </w:r>
      <w:r w:rsidR="004B7C68">
        <w:rPr>
          <w:rStyle w:val="tlid-translation"/>
          <w:b/>
          <w:bCs/>
        </w:rPr>
        <w:t>II</w:t>
      </w:r>
      <w:r w:rsidRPr="007746E1">
        <w:rPr>
          <w:rStyle w:val="tlid-translation"/>
          <w:b/>
          <w:bCs/>
        </w:rPr>
        <w:t>.2</w:t>
      </w:r>
      <w:r w:rsidRPr="007746E1">
        <w:rPr>
          <w:rStyle w:val="tlid-translation"/>
          <w:bCs/>
        </w:rPr>
        <w:t xml:space="preserve"> “</w:t>
      </w:r>
      <w:r w:rsidR="004B7C68" w:rsidRPr="004B7C68">
        <w:rPr>
          <w:b/>
        </w:rPr>
        <w:t>Zbatimi me profesionalizem dhe pa paragjykime i legjislacionit për të luftuar diskriminimin dhe krimin e urrejtjes ndaj personave LGBTI+.</w:t>
      </w:r>
      <w:r w:rsidRPr="007746E1">
        <w:rPr>
          <w:b/>
        </w:rPr>
        <w:t>”</w:t>
      </w:r>
      <w:r w:rsidR="00341681" w:rsidRPr="007746E1">
        <w:rPr>
          <w:b/>
        </w:rPr>
        <w:t xml:space="preserve"> </w:t>
      </w:r>
      <w:r w:rsidRPr="007746E1">
        <w:t>janë parashikuar:</w:t>
      </w:r>
    </w:p>
    <w:p w:rsidR="00F15DA5" w:rsidRPr="007746E1" w:rsidRDefault="00F15DA5" w:rsidP="00BF02E2">
      <w:pPr>
        <w:spacing w:line="276" w:lineRule="auto"/>
        <w:jc w:val="both"/>
      </w:pPr>
    </w:p>
    <w:p w:rsidR="000171F5" w:rsidRPr="007746E1" w:rsidRDefault="000171F5" w:rsidP="000171F5">
      <w:pPr>
        <w:spacing w:line="276" w:lineRule="auto"/>
        <w:jc w:val="both"/>
        <w:rPr>
          <w:b/>
        </w:rPr>
      </w:pPr>
      <w:r w:rsidRPr="007746E1">
        <w:rPr>
          <w:b/>
        </w:rPr>
        <w:t>Rezultatet</w:t>
      </w:r>
      <w:r w:rsidR="004B7C68">
        <w:rPr>
          <w:b/>
        </w:rPr>
        <w:t xml:space="preserve"> e arritshme</w:t>
      </w:r>
      <w:r w:rsidRPr="007746E1">
        <w:rPr>
          <w:b/>
        </w:rPr>
        <w:t>:</w:t>
      </w:r>
    </w:p>
    <w:p w:rsidR="004B7C68" w:rsidRDefault="004B7C68" w:rsidP="00BF02E2">
      <w:pPr>
        <w:spacing w:line="276" w:lineRule="auto"/>
        <w:ind w:left="720" w:hanging="720"/>
        <w:jc w:val="both"/>
        <w:rPr>
          <w:lang w:val="en-US"/>
        </w:rPr>
      </w:pPr>
      <w:r w:rsidRPr="004B7C68">
        <w:rPr>
          <w:lang w:val="en-US"/>
        </w:rPr>
        <w:t>i. Profesioniste e profesionistë të drejtësisë dhe policimit më të përgatitur dhe të gatshëm për të mbrojtur të drejtat njerëzore të LGBTI+ .</w:t>
      </w:r>
    </w:p>
    <w:p w:rsidR="004B7C68" w:rsidRDefault="004B7C68" w:rsidP="00BF02E2">
      <w:pPr>
        <w:spacing w:line="276" w:lineRule="auto"/>
        <w:ind w:left="720" w:hanging="720"/>
        <w:jc w:val="both"/>
        <w:rPr>
          <w:lang w:val="en-US"/>
        </w:rPr>
      </w:pPr>
      <w:r w:rsidRPr="004B7C68">
        <w:rPr>
          <w:lang w:val="en-US"/>
        </w:rPr>
        <w:t>ii. Rritje e besimit të personave LGBTI+ në sistemin e drejtësisë dhe të policimit</w:t>
      </w:r>
      <w:r w:rsidR="00FD1412">
        <w:rPr>
          <w:lang w:val="en-US"/>
        </w:rPr>
        <w:t>.</w:t>
      </w:r>
    </w:p>
    <w:p w:rsidR="004B7C68" w:rsidRDefault="004B7C68" w:rsidP="00BF02E2">
      <w:pPr>
        <w:spacing w:line="276" w:lineRule="auto"/>
        <w:ind w:left="720" w:hanging="720"/>
        <w:jc w:val="both"/>
        <w:rPr>
          <w:lang w:val="en-US"/>
        </w:rPr>
      </w:pPr>
    </w:p>
    <w:p w:rsidR="004B7C68" w:rsidRPr="00FD1412" w:rsidRDefault="004B7C68" w:rsidP="00BF02E2">
      <w:pPr>
        <w:spacing w:line="276" w:lineRule="auto"/>
        <w:ind w:left="720" w:hanging="720"/>
        <w:jc w:val="both"/>
        <w:rPr>
          <w:b/>
          <w:lang w:val="en-US"/>
        </w:rPr>
      </w:pPr>
      <w:r w:rsidRPr="00FD1412">
        <w:rPr>
          <w:b/>
          <w:lang w:val="en-US"/>
        </w:rPr>
        <w:t>Treguesit:</w:t>
      </w:r>
    </w:p>
    <w:p w:rsidR="004B7C68" w:rsidRDefault="004B7C68" w:rsidP="00BF02E2">
      <w:pPr>
        <w:spacing w:line="276" w:lineRule="auto"/>
        <w:ind w:left="720" w:hanging="720"/>
        <w:jc w:val="both"/>
        <w:rPr>
          <w:lang w:val="en-US"/>
        </w:rPr>
      </w:pPr>
      <w:r w:rsidRPr="004B7C68">
        <w:rPr>
          <w:lang w:val="en-US"/>
        </w:rPr>
        <w:t>II.2.a. Numri i raporteve vjetore të përpiluara dhe dorëzuara në Këshillin e Evropës, mbi diskriminimin dhe krimet e urrejtjes kundër personave LGBTI+</w:t>
      </w:r>
      <w:r w:rsidR="00FD1412">
        <w:rPr>
          <w:lang w:val="en-US"/>
        </w:rPr>
        <w:t>.</w:t>
      </w:r>
      <w:r w:rsidRPr="004B7C68">
        <w:rPr>
          <w:lang w:val="en-US"/>
        </w:rPr>
        <w:t xml:space="preserve"> </w:t>
      </w:r>
    </w:p>
    <w:p w:rsidR="004B7C68" w:rsidRDefault="004B7C68" w:rsidP="00BF02E2">
      <w:pPr>
        <w:spacing w:line="276" w:lineRule="auto"/>
        <w:ind w:left="720" w:hanging="720"/>
        <w:jc w:val="both"/>
        <w:rPr>
          <w:lang w:val="en-US"/>
        </w:rPr>
      </w:pPr>
      <w:r w:rsidRPr="004B7C68">
        <w:rPr>
          <w:lang w:val="en-US"/>
        </w:rPr>
        <w:lastRenderedPageBreak/>
        <w:t>II.2.b. Numri i pikave fokale për LGBTI+ pranë K</w:t>
      </w:r>
      <w:r w:rsidR="008551B5">
        <w:rPr>
          <w:lang w:val="en-US"/>
        </w:rPr>
        <w:t>ë</w:t>
      </w:r>
      <w:r>
        <w:rPr>
          <w:lang w:val="en-US"/>
        </w:rPr>
        <w:t xml:space="preserve">shillave </w:t>
      </w:r>
      <w:r w:rsidRPr="004B7C68">
        <w:rPr>
          <w:lang w:val="en-US"/>
        </w:rPr>
        <w:t>V</w:t>
      </w:r>
      <w:r>
        <w:rPr>
          <w:lang w:val="en-US"/>
        </w:rPr>
        <w:t>endor</w:t>
      </w:r>
      <w:r w:rsidR="008551B5">
        <w:rPr>
          <w:lang w:val="en-US"/>
        </w:rPr>
        <w:t>ë</w:t>
      </w:r>
      <w:r>
        <w:rPr>
          <w:lang w:val="en-US"/>
        </w:rPr>
        <w:t xml:space="preserve"> p</w:t>
      </w:r>
      <w:r w:rsidR="008551B5">
        <w:rPr>
          <w:lang w:val="en-US"/>
        </w:rPr>
        <w:t>ë</w:t>
      </w:r>
      <w:r>
        <w:rPr>
          <w:lang w:val="en-US"/>
        </w:rPr>
        <w:t xml:space="preserve">r </w:t>
      </w:r>
      <w:r w:rsidRPr="004B7C68">
        <w:rPr>
          <w:lang w:val="en-US"/>
        </w:rPr>
        <w:t>S</w:t>
      </w:r>
      <w:r>
        <w:rPr>
          <w:lang w:val="en-US"/>
        </w:rPr>
        <w:t>igurin</w:t>
      </w:r>
      <w:r w:rsidR="008551B5">
        <w:rPr>
          <w:lang w:val="en-US"/>
        </w:rPr>
        <w:t>ë</w:t>
      </w:r>
      <w:r>
        <w:rPr>
          <w:lang w:val="en-US"/>
        </w:rPr>
        <w:t xml:space="preserve"> </w:t>
      </w:r>
      <w:r w:rsidRPr="004B7C68">
        <w:rPr>
          <w:lang w:val="en-US"/>
        </w:rPr>
        <w:t>P</w:t>
      </w:r>
      <w:r>
        <w:rPr>
          <w:lang w:val="en-US"/>
        </w:rPr>
        <w:t>ublike (KVSP)</w:t>
      </w:r>
      <w:r w:rsidRPr="004B7C68">
        <w:rPr>
          <w:lang w:val="en-US"/>
        </w:rPr>
        <w:t xml:space="preserve"> të trajnuar</w:t>
      </w:r>
      <w:r w:rsidR="00FD1412">
        <w:rPr>
          <w:lang w:val="en-US"/>
        </w:rPr>
        <w:t>.</w:t>
      </w:r>
    </w:p>
    <w:p w:rsidR="004B7C68" w:rsidRDefault="004B7C68" w:rsidP="00BF02E2">
      <w:pPr>
        <w:spacing w:line="276" w:lineRule="auto"/>
        <w:ind w:left="720" w:hanging="720"/>
        <w:jc w:val="both"/>
        <w:rPr>
          <w:lang w:val="en-US"/>
        </w:rPr>
      </w:pPr>
    </w:p>
    <w:p w:rsidR="004B7C68" w:rsidRPr="00BE000A" w:rsidRDefault="004B7C68" w:rsidP="00BF02E2">
      <w:pPr>
        <w:spacing w:line="276" w:lineRule="auto"/>
        <w:ind w:left="720" w:hanging="720"/>
        <w:jc w:val="both"/>
        <w:rPr>
          <w:b/>
          <w:lang w:val="en-US"/>
        </w:rPr>
      </w:pPr>
      <w:r w:rsidRPr="00BE000A">
        <w:rPr>
          <w:b/>
          <w:lang w:val="en-US"/>
        </w:rPr>
        <w:t>Masat:</w:t>
      </w:r>
    </w:p>
    <w:p w:rsidR="004B7C68" w:rsidRDefault="004B7C68" w:rsidP="00BF02E2">
      <w:pPr>
        <w:spacing w:line="276" w:lineRule="auto"/>
        <w:ind w:left="720" w:hanging="720"/>
        <w:jc w:val="both"/>
        <w:rPr>
          <w:lang w:val="en-US"/>
        </w:rPr>
      </w:pPr>
      <w:r w:rsidRPr="004B7C68">
        <w:rPr>
          <w:lang w:val="en-US"/>
        </w:rPr>
        <w:t>II.2.1. Përgatitja e raportit mbi diskriminimin dhe krimet e urrejtjes kundër personave LGBTI+, në përputhje me standardet ndërkombëtare sipas KE.</w:t>
      </w:r>
    </w:p>
    <w:p w:rsidR="004B7C68" w:rsidRDefault="004B7C68" w:rsidP="00BF02E2">
      <w:pPr>
        <w:spacing w:line="276" w:lineRule="auto"/>
        <w:ind w:left="720" w:hanging="720"/>
        <w:jc w:val="both"/>
        <w:rPr>
          <w:lang w:val="en-US"/>
        </w:rPr>
      </w:pPr>
      <w:r w:rsidRPr="004B7C68">
        <w:rPr>
          <w:lang w:val="en-US"/>
        </w:rPr>
        <w:t>II.2.2 Krijimi i një mjedisi lehtësues për denoncimin e krimeve të urrejtjes dhe diskriminimit kundër personave LGBTI+ në ambjentet e PSHSH</w:t>
      </w:r>
      <w:r w:rsidR="00FD1412">
        <w:rPr>
          <w:lang w:val="en-US"/>
        </w:rPr>
        <w:t>.</w:t>
      </w:r>
    </w:p>
    <w:p w:rsidR="004B7C68" w:rsidRDefault="004B7C68" w:rsidP="00BF02E2">
      <w:pPr>
        <w:spacing w:line="276" w:lineRule="auto"/>
        <w:ind w:left="720" w:hanging="720"/>
        <w:jc w:val="both"/>
        <w:rPr>
          <w:lang w:val="en-US"/>
        </w:rPr>
      </w:pPr>
      <w:r w:rsidRPr="004B7C68">
        <w:rPr>
          <w:lang w:val="en-US"/>
        </w:rPr>
        <w:t>II.2.3. Trajnimi i profesionisteve dhe profesionistëve të Zyrave për Ndihmë Juridike Falas, si dhe i OJF-ve dhe Klinikave të Ligjit të licensuara për ofrimin e ndihmës juridike, me qëllim ofrimin e shërbimeve të ndjeshme ndaj personave LGBTI+</w:t>
      </w:r>
      <w:r w:rsidR="00FD1412">
        <w:rPr>
          <w:lang w:val="en-US"/>
        </w:rPr>
        <w:t>.</w:t>
      </w:r>
    </w:p>
    <w:p w:rsidR="004B7C68" w:rsidRDefault="004B7C68" w:rsidP="00BF02E2">
      <w:pPr>
        <w:spacing w:line="276" w:lineRule="auto"/>
        <w:ind w:left="720" w:hanging="720"/>
        <w:jc w:val="both"/>
        <w:rPr>
          <w:lang w:val="en-US"/>
        </w:rPr>
      </w:pPr>
      <w:r w:rsidRPr="004B7C68">
        <w:rPr>
          <w:lang w:val="en-US"/>
        </w:rPr>
        <w:t xml:space="preserve">II.2.4. Monitorimi dhe vlerësimi i zbatimit të </w:t>
      </w:r>
      <w:r w:rsidR="00FD1412">
        <w:rPr>
          <w:lang w:val="en-US"/>
        </w:rPr>
        <w:t>“</w:t>
      </w:r>
      <w:r w:rsidRPr="004B7C68">
        <w:rPr>
          <w:lang w:val="en-US"/>
        </w:rPr>
        <w:t xml:space="preserve">PKV LGBTI+ 2021 </w:t>
      </w:r>
      <w:r>
        <w:rPr>
          <w:lang w:val="en-US"/>
        </w:rPr>
        <w:t>–</w:t>
      </w:r>
      <w:r w:rsidRPr="004B7C68">
        <w:rPr>
          <w:lang w:val="en-US"/>
        </w:rPr>
        <w:t xml:space="preserve"> 2027</w:t>
      </w:r>
      <w:r w:rsidR="00FD1412">
        <w:rPr>
          <w:lang w:val="en-US"/>
        </w:rPr>
        <w:t>”.</w:t>
      </w:r>
    </w:p>
    <w:p w:rsidR="0098086F" w:rsidRPr="001B1D14" w:rsidRDefault="0098086F" w:rsidP="001B1D14">
      <w:pPr>
        <w:spacing w:line="276" w:lineRule="auto"/>
        <w:jc w:val="both"/>
      </w:pPr>
    </w:p>
    <w:p w:rsidR="00654ED1" w:rsidRPr="00FD1412" w:rsidRDefault="00654ED1" w:rsidP="00BF02E2">
      <w:pPr>
        <w:pStyle w:val="ListParagraph"/>
        <w:spacing w:line="276" w:lineRule="auto"/>
        <w:ind w:left="0"/>
        <w:contextualSpacing w:val="0"/>
        <w:jc w:val="both"/>
        <w:outlineLvl w:val="1"/>
        <w:rPr>
          <w:b/>
          <w:color w:val="FF00FF"/>
          <w:u w:val="single"/>
        </w:rPr>
      </w:pPr>
      <w:bookmarkStart w:id="32" w:name="_Toc79509628"/>
      <w:r w:rsidRPr="00FD1412">
        <w:rPr>
          <w:b/>
          <w:color w:val="FF00FF"/>
          <w:u w:val="single"/>
        </w:rPr>
        <w:t>Politika III</w:t>
      </w:r>
      <w:r w:rsidR="00006DAC" w:rsidRPr="00FD1412">
        <w:rPr>
          <w:b/>
          <w:color w:val="FF00FF"/>
          <w:u w:val="single"/>
        </w:rPr>
        <w:t>.</w:t>
      </w:r>
      <w:bookmarkEnd w:id="32"/>
    </w:p>
    <w:p w:rsidR="00006DAC" w:rsidRPr="001B1D14" w:rsidRDefault="00006DAC" w:rsidP="00BF02E2">
      <w:pPr>
        <w:pStyle w:val="ListParagraph"/>
        <w:spacing w:line="276" w:lineRule="auto"/>
        <w:ind w:left="0"/>
        <w:contextualSpacing w:val="0"/>
        <w:jc w:val="both"/>
        <w:outlineLvl w:val="1"/>
        <w:rPr>
          <w:rStyle w:val="tlid-translation"/>
          <w:b/>
          <w:color w:val="E36C0A" w:themeColor="accent6" w:themeShade="BF"/>
        </w:rPr>
      </w:pPr>
    </w:p>
    <w:p w:rsidR="000569F7" w:rsidRPr="00FD1412" w:rsidRDefault="00593D04" w:rsidP="00BF02E2">
      <w:pPr>
        <w:pBdr>
          <w:top w:val="single" w:sz="4" w:space="1" w:color="auto"/>
          <w:left w:val="single" w:sz="4" w:space="4" w:color="auto"/>
          <w:bottom w:val="single" w:sz="4" w:space="1" w:color="auto"/>
          <w:right w:val="single" w:sz="4" w:space="4" w:color="auto"/>
        </w:pBdr>
        <w:spacing w:line="276" w:lineRule="auto"/>
        <w:jc w:val="both"/>
        <w:rPr>
          <w:color w:val="FF00FF"/>
        </w:rPr>
      </w:pPr>
      <w:r w:rsidRPr="00FD1412">
        <w:rPr>
          <w:b/>
          <w:color w:val="FF00FF"/>
        </w:rPr>
        <w:t>Q</w:t>
      </w:r>
      <w:r w:rsidR="003741E5" w:rsidRPr="00FD1412">
        <w:rPr>
          <w:b/>
          <w:color w:val="FF00FF"/>
        </w:rPr>
        <w:t>ë</w:t>
      </w:r>
      <w:r w:rsidRPr="00FD1412">
        <w:rPr>
          <w:b/>
          <w:color w:val="FF00FF"/>
        </w:rPr>
        <w:t xml:space="preserve">llimi </w:t>
      </w:r>
      <w:r w:rsidR="007A1B9A" w:rsidRPr="00FD1412">
        <w:rPr>
          <w:b/>
          <w:color w:val="FF00FF"/>
        </w:rPr>
        <w:t>Strategjik</w:t>
      </w:r>
      <w:r w:rsidR="00883F29" w:rsidRPr="00FD1412">
        <w:rPr>
          <w:b/>
          <w:color w:val="FF00FF"/>
        </w:rPr>
        <w:t xml:space="preserve"> </w:t>
      </w:r>
      <w:r w:rsidR="004B7C68" w:rsidRPr="00FD1412">
        <w:rPr>
          <w:b/>
          <w:color w:val="FF00FF"/>
        </w:rPr>
        <w:t>III</w:t>
      </w:r>
      <w:r w:rsidR="00314849" w:rsidRPr="00FD1412">
        <w:rPr>
          <w:b/>
          <w:color w:val="FF00FF"/>
        </w:rPr>
        <w:t xml:space="preserve"> </w:t>
      </w:r>
      <w:r w:rsidRPr="00FD1412">
        <w:rPr>
          <w:b/>
          <w:color w:val="FF00FF"/>
        </w:rPr>
        <w:t>-</w:t>
      </w:r>
      <w:r w:rsidR="00517188" w:rsidRPr="00FD1412">
        <w:rPr>
          <w:b/>
          <w:color w:val="FF00FF"/>
        </w:rPr>
        <w:t xml:space="preserve"> </w:t>
      </w:r>
      <w:r w:rsidR="004B7C68" w:rsidRPr="00FD1412">
        <w:rPr>
          <w:b/>
          <w:color w:val="FF00FF"/>
        </w:rPr>
        <w:t>Krijimi i një shoqërie gjithëpërfshirëse, pranuese dhe jo-diskriminuese kundrejt personave LGBTI+ në Shqipëri</w:t>
      </w:r>
    </w:p>
    <w:p w:rsidR="000E1DC5" w:rsidRPr="001B1D14" w:rsidRDefault="000E1DC5" w:rsidP="00BF02E2">
      <w:pPr>
        <w:spacing w:line="276" w:lineRule="auto"/>
        <w:jc w:val="both"/>
      </w:pPr>
    </w:p>
    <w:p w:rsidR="00F81D48" w:rsidRPr="001B1D14" w:rsidRDefault="00F81D48" w:rsidP="00BF02E2">
      <w:pPr>
        <w:autoSpaceDE w:val="0"/>
        <w:autoSpaceDN w:val="0"/>
        <w:adjustRightInd w:val="0"/>
        <w:spacing w:line="276" w:lineRule="auto"/>
        <w:jc w:val="both"/>
      </w:pPr>
      <w:r w:rsidRPr="007746E1">
        <w:t xml:space="preserve">Edhe për përmbushjen e këtij qëllimi strategjik janë parashikuar objektiva specifikë të bazuar </w:t>
      </w:r>
      <w:r w:rsidR="00CA1C45" w:rsidRPr="007746E1">
        <w:t xml:space="preserve">dhe </w:t>
      </w:r>
      <w:r w:rsidRPr="007746E1">
        <w:t xml:space="preserve">në </w:t>
      </w:r>
      <w:r w:rsidR="008A336E" w:rsidRPr="007746E1">
        <w:t xml:space="preserve">PKV </w:t>
      </w:r>
      <w:r w:rsidR="001E257F" w:rsidRPr="007746E1">
        <w:t>2</w:t>
      </w:r>
      <w:r w:rsidRPr="007746E1">
        <w:t xml:space="preserve">016-2020 </w:t>
      </w:r>
      <w:r w:rsidR="00475C31" w:rsidRPr="007746E1">
        <w:t>duke</w:t>
      </w:r>
      <w:r w:rsidRPr="007746E1">
        <w:t xml:space="preserve"> shtuar dhe theksuar domosdoshmëri</w:t>
      </w:r>
      <w:r w:rsidR="00475C31" w:rsidRPr="007746E1">
        <w:t>në</w:t>
      </w:r>
      <w:r w:rsidRPr="007746E1">
        <w:t xml:space="preserve"> </w:t>
      </w:r>
      <w:r w:rsidR="00CA1C45" w:rsidRPr="007746E1">
        <w:t xml:space="preserve">e </w:t>
      </w:r>
      <w:r w:rsidRPr="007746E1">
        <w:t>ndërgjegjësimi</w:t>
      </w:r>
      <w:r w:rsidR="00CA1C45" w:rsidRPr="007746E1">
        <w:t>t</w:t>
      </w:r>
      <w:r w:rsidRPr="007746E1">
        <w:t xml:space="preserve"> </w:t>
      </w:r>
      <w:r w:rsidR="00CA1C45" w:rsidRPr="007746E1">
        <w:t>të</w:t>
      </w:r>
      <w:r w:rsidRPr="007746E1">
        <w:t xml:space="preserve"> shoqërisë</w:t>
      </w:r>
      <w:r w:rsidR="00CA1C45" w:rsidRPr="007746E1">
        <w:t xml:space="preserve"> mbi të drejtat e personave </w:t>
      </w:r>
      <w:r w:rsidR="00466064">
        <w:t>LGBTI</w:t>
      </w:r>
      <w:r w:rsidR="004B7C68">
        <w:t>+</w:t>
      </w:r>
      <w:r w:rsidR="00A31E8C">
        <w:t>,</w:t>
      </w:r>
      <w:r w:rsidRPr="007746E1">
        <w:t xml:space="preserve"> </w:t>
      </w:r>
      <w:r w:rsidR="00003FD2" w:rsidRPr="007746E1">
        <w:rPr>
          <w:bCs/>
        </w:rPr>
        <w:t xml:space="preserve">duke përfshirë qytetarët, </w:t>
      </w:r>
      <w:r w:rsidR="00AD2E30" w:rsidRPr="007746E1">
        <w:rPr>
          <w:bCs/>
        </w:rPr>
        <w:t>OJF</w:t>
      </w:r>
      <w:r w:rsidR="00003FD2" w:rsidRPr="007746E1">
        <w:rPr>
          <w:bCs/>
        </w:rPr>
        <w:t>-të, sektorin privat dhe grupet profesionale</w:t>
      </w:r>
      <w:r w:rsidR="00A31E8C">
        <w:rPr>
          <w:bCs/>
        </w:rPr>
        <w:t>,</w:t>
      </w:r>
      <w:r w:rsidR="00003FD2" w:rsidRPr="007746E1">
        <w:t xml:space="preserve"> </w:t>
      </w:r>
      <w:r w:rsidRPr="007746E1">
        <w:t>etj</w:t>
      </w:r>
      <w:r w:rsidR="00E97D2C" w:rsidRPr="007746E1">
        <w:t>.</w:t>
      </w:r>
    </w:p>
    <w:p w:rsidR="004604EF" w:rsidRPr="001B1D14" w:rsidRDefault="004604EF" w:rsidP="00BF02E2">
      <w:pPr>
        <w:autoSpaceDE w:val="0"/>
        <w:autoSpaceDN w:val="0"/>
        <w:adjustRightInd w:val="0"/>
        <w:spacing w:line="276" w:lineRule="auto"/>
        <w:jc w:val="both"/>
      </w:pPr>
    </w:p>
    <w:p w:rsidR="004604EF" w:rsidRDefault="004604EF" w:rsidP="00BF02E2">
      <w:pPr>
        <w:autoSpaceDE w:val="0"/>
        <w:autoSpaceDN w:val="0"/>
        <w:adjustRightInd w:val="0"/>
        <w:spacing w:line="276" w:lineRule="auto"/>
        <w:jc w:val="both"/>
      </w:pPr>
      <w:r w:rsidRPr="007746E1">
        <w:t xml:space="preserve">Treguesi </w:t>
      </w:r>
      <w:r w:rsidR="00784B40">
        <w:t>i</w:t>
      </w:r>
      <w:r w:rsidRPr="007746E1">
        <w:t xml:space="preserve"> impaktit n</w:t>
      </w:r>
      <w:r w:rsidR="001E257F" w:rsidRPr="007746E1">
        <w:t>ë</w:t>
      </w:r>
      <w:r w:rsidRPr="007746E1">
        <w:t xml:space="preserve"> k</w:t>
      </w:r>
      <w:r w:rsidR="001E257F" w:rsidRPr="007746E1">
        <w:t>ë</w:t>
      </w:r>
      <w:r w:rsidRPr="007746E1">
        <w:t>t</w:t>
      </w:r>
      <w:r w:rsidR="001E257F" w:rsidRPr="007746E1">
        <w:t>ë</w:t>
      </w:r>
      <w:r w:rsidRPr="007746E1">
        <w:t xml:space="preserve"> q</w:t>
      </w:r>
      <w:r w:rsidR="001E257F" w:rsidRPr="007746E1">
        <w:t>ë</w:t>
      </w:r>
      <w:r w:rsidRPr="007746E1">
        <w:t>llim strategjik</w:t>
      </w:r>
      <w:r w:rsidR="00784B40">
        <w:t xml:space="preserve"> </w:t>
      </w:r>
      <w:r w:rsidR="008551B5">
        <w:t>ë</w:t>
      </w:r>
      <w:r w:rsidR="00784B40">
        <w:t>sht</w:t>
      </w:r>
      <w:r w:rsidR="008551B5">
        <w:t>ë</w:t>
      </w:r>
      <w:r w:rsidRPr="007746E1">
        <w:t>:</w:t>
      </w:r>
    </w:p>
    <w:p w:rsidR="00CC21BB" w:rsidRPr="007746E1" w:rsidRDefault="00CC21BB" w:rsidP="00FD1412">
      <w:pPr>
        <w:pStyle w:val="ListParagraph"/>
        <w:numPr>
          <w:ilvl w:val="0"/>
          <w:numId w:val="9"/>
        </w:numPr>
        <w:autoSpaceDE w:val="0"/>
        <w:autoSpaceDN w:val="0"/>
        <w:adjustRightInd w:val="0"/>
        <w:spacing w:line="276" w:lineRule="auto"/>
        <w:jc w:val="both"/>
      </w:pPr>
      <w:r>
        <w:t>Numri i personave LGBTI+ t</w:t>
      </w:r>
      <w:r w:rsidR="008551B5">
        <w:t>ë</w:t>
      </w:r>
      <w:r>
        <w:t xml:space="preserve"> cil</w:t>
      </w:r>
      <w:r w:rsidR="008551B5">
        <w:t>ë</w:t>
      </w:r>
      <w:r>
        <w:t>t ndiehen t</w:t>
      </w:r>
      <w:r w:rsidR="008551B5">
        <w:t>ë</w:t>
      </w:r>
      <w:r>
        <w:t xml:space="preserve"> pranuar </w:t>
      </w:r>
      <w:r w:rsidR="000E5684">
        <w:t>dhe jo t</w:t>
      </w:r>
      <w:r w:rsidR="008551B5">
        <w:t>ë</w:t>
      </w:r>
      <w:r w:rsidR="000E5684">
        <w:t xml:space="preserve"> diskriminuar n</w:t>
      </w:r>
      <w:r w:rsidR="008551B5">
        <w:t>ë</w:t>
      </w:r>
      <w:r w:rsidR="000E5684">
        <w:t xml:space="preserve"> shoq</w:t>
      </w:r>
      <w:r w:rsidR="008551B5">
        <w:t>ë</w:t>
      </w:r>
      <w:r w:rsidR="000E5684">
        <w:t>ri  (p</w:t>
      </w:r>
      <w:r w:rsidR="008551B5">
        <w:t>ë</w:t>
      </w:r>
      <w:r w:rsidR="000E5684">
        <w:t>rfshir</w:t>
      </w:r>
      <w:r w:rsidR="008551B5">
        <w:t>ë</w:t>
      </w:r>
      <w:r w:rsidR="000E5684">
        <w:t xml:space="preserve"> dhe n</w:t>
      </w:r>
      <w:r w:rsidR="008551B5">
        <w:t>ë</w:t>
      </w:r>
      <w:r w:rsidR="000E5684">
        <w:t xml:space="preserve"> fushat e sh</w:t>
      </w:r>
      <w:r w:rsidR="008551B5">
        <w:t>ë</w:t>
      </w:r>
      <w:r w:rsidR="000E5684">
        <w:t>ndet</w:t>
      </w:r>
      <w:r w:rsidR="008551B5">
        <w:t>ë</w:t>
      </w:r>
      <w:r w:rsidR="000E5684">
        <w:t>sis</w:t>
      </w:r>
      <w:r w:rsidR="008551B5">
        <w:t>ë</w:t>
      </w:r>
      <w:r w:rsidR="000E5684">
        <w:t>, arsimit, pun</w:t>
      </w:r>
      <w:r w:rsidR="008551B5">
        <w:t>ë</w:t>
      </w:r>
      <w:r w:rsidR="000E5684">
        <w:t>simit, sh</w:t>
      </w:r>
      <w:r w:rsidR="008551B5">
        <w:t>ë</w:t>
      </w:r>
      <w:r w:rsidR="000E5684">
        <w:t>rbimeve, etj)</w:t>
      </w:r>
    </w:p>
    <w:p w:rsidR="007F17E4" w:rsidRDefault="007F17E4" w:rsidP="00BF02E2">
      <w:pPr>
        <w:spacing w:line="276" w:lineRule="auto"/>
        <w:jc w:val="both"/>
        <w:rPr>
          <w:bCs/>
        </w:rPr>
      </w:pPr>
    </w:p>
    <w:p w:rsidR="007F17E4" w:rsidRDefault="007F17E4" w:rsidP="00BF02E2">
      <w:pPr>
        <w:spacing w:line="276" w:lineRule="auto"/>
        <w:jc w:val="both"/>
        <w:rPr>
          <w:bCs/>
        </w:rPr>
      </w:pPr>
      <w:r>
        <w:rPr>
          <w:bCs/>
        </w:rPr>
        <w:t>N</w:t>
      </w:r>
      <w:r w:rsidR="008551B5">
        <w:rPr>
          <w:bCs/>
        </w:rPr>
        <w:t>ë</w:t>
      </w:r>
      <w:r>
        <w:rPr>
          <w:bCs/>
        </w:rPr>
        <w:t>n k</w:t>
      </w:r>
      <w:r w:rsidR="008551B5">
        <w:rPr>
          <w:bCs/>
        </w:rPr>
        <w:t>ë</w:t>
      </w:r>
      <w:r>
        <w:rPr>
          <w:bCs/>
        </w:rPr>
        <w:t>t</w:t>
      </w:r>
      <w:r w:rsidR="008551B5">
        <w:rPr>
          <w:bCs/>
        </w:rPr>
        <w:t>ë</w:t>
      </w:r>
      <w:r>
        <w:rPr>
          <w:bCs/>
        </w:rPr>
        <w:t xml:space="preserve"> q</w:t>
      </w:r>
      <w:r w:rsidR="008551B5">
        <w:rPr>
          <w:bCs/>
        </w:rPr>
        <w:t>ë</w:t>
      </w:r>
      <w:r>
        <w:rPr>
          <w:bCs/>
        </w:rPr>
        <w:t>llim strategjik jan</w:t>
      </w:r>
      <w:r w:rsidR="008551B5">
        <w:rPr>
          <w:bCs/>
        </w:rPr>
        <w:t>ë</w:t>
      </w:r>
      <w:r>
        <w:rPr>
          <w:bCs/>
        </w:rPr>
        <w:t xml:space="preserve"> parashikuar k</w:t>
      </w:r>
      <w:r w:rsidR="008551B5">
        <w:rPr>
          <w:bCs/>
        </w:rPr>
        <w:t>ë</w:t>
      </w:r>
      <w:r>
        <w:rPr>
          <w:bCs/>
        </w:rPr>
        <w:t>ta objektiva specifik</w:t>
      </w:r>
      <w:r w:rsidR="008551B5">
        <w:rPr>
          <w:bCs/>
        </w:rPr>
        <w:t>ë</w:t>
      </w:r>
      <w:r>
        <w:rPr>
          <w:bCs/>
        </w:rPr>
        <w:t>:</w:t>
      </w:r>
    </w:p>
    <w:p w:rsidR="000E1DC5" w:rsidRPr="001B1D14" w:rsidRDefault="000E1DC5" w:rsidP="00BF02E2">
      <w:pPr>
        <w:spacing w:line="276" w:lineRule="auto"/>
        <w:jc w:val="both"/>
      </w:pPr>
    </w:p>
    <w:tbl>
      <w:tblPr>
        <w:tblStyle w:val="ListTable6ColorfulAccent3"/>
        <w:tblW w:w="5110" w:type="pct"/>
        <w:tblLayout w:type="fixed"/>
        <w:tblLook w:val="04A0"/>
      </w:tblPr>
      <w:tblGrid>
        <w:gridCol w:w="1753"/>
        <w:gridCol w:w="7692"/>
      </w:tblGrid>
      <w:tr w:rsidR="00FD1412" w:rsidRPr="00FD1412" w:rsidTr="00FD1412">
        <w:trPr>
          <w:cnfStyle w:val="100000000000"/>
        </w:trPr>
        <w:tc>
          <w:tcPr>
            <w:cnfStyle w:val="001000000000"/>
            <w:tcW w:w="928" w:type="pct"/>
          </w:tcPr>
          <w:p w:rsidR="003E4DF6" w:rsidRPr="00FD1412" w:rsidRDefault="003E4DF6" w:rsidP="00BF02E2">
            <w:pPr>
              <w:spacing w:line="276" w:lineRule="auto"/>
              <w:rPr>
                <w:color w:val="FF00FF"/>
              </w:rPr>
            </w:pPr>
            <w:r w:rsidRPr="00FD1412">
              <w:rPr>
                <w:color w:val="FF00FF"/>
              </w:rPr>
              <w:t xml:space="preserve">Objektivi specifik </w:t>
            </w:r>
            <w:r w:rsidR="00ED0665" w:rsidRPr="00FD1412">
              <w:rPr>
                <w:color w:val="FF00FF"/>
              </w:rPr>
              <w:t>III</w:t>
            </w:r>
            <w:r w:rsidR="000E1DC5" w:rsidRPr="00FD1412">
              <w:rPr>
                <w:color w:val="FF00FF"/>
              </w:rPr>
              <w:t>.</w:t>
            </w:r>
            <w:r w:rsidRPr="00FD1412">
              <w:rPr>
                <w:color w:val="FF00FF"/>
              </w:rPr>
              <w:t>1:</w:t>
            </w:r>
          </w:p>
        </w:tc>
        <w:tc>
          <w:tcPr>
            <w:tcW w:w="4072" w:type="pct"/>
          </w:tcPr>
          <w:p w:rsidR="003E4DF6" w:rsidRPr="00FD1412" w:rsidRDefault="00ED0665" w:rsidP="00BF02E2">
            <w:pPr>
              <w:spacing w:line="276" w:lineRule="auto"/>
              <w:jc w:val="both"/>
              <w:cnfStyle w:val="100000000000"/>
              <w:rPr>
                <w:b w:val="0"/>
                <w:bCs w:val="0"/>
                <w:color w:val="FF00FF"/>
              </w:rPr>
            </w:pPr>
            <w:r w:rsidRPr="00FD1412">
              <w:rPr>
                <w:b w:val="0"/>
                <w:bCs w:val="0"/>
                <w:color w:val="FF00FF"/>
              </w:rPr>
              <w:t>Edukimi i shoqërisë me parimet e barazisë, gjithëpërfshirjes dhe mosdiskriminimit kundrejt personave LGBTI+</w:t>
            </w:r>
          </w:p>
        </w:tc>
      </w:tr>
      <w:tr w:rsidR="00FD1412" w:rsidRPr="00FD1412" w:rsidTr="00FD1412">
        <w:trPr>
          <w:cnfStyle w:val="000000100000"/>
        </w:trPr>
        <w:tc>
          <w:tcPr>
            <w:cnfStyle w:val="001000000000"/>
            <w:tcW w:w="928" w:type="pct"/>
          </w:tcPr>
          <w:p w:rsidR="003E4DF6" w:rsidRPr="00FD1412" w:rsidRDefault="003E4DF6" w:rsidP="00ED0665">
            <w:pPr>
              <w:spacing w:line="276" w:lineRule="auto"/>
              <w:rPr>
                <w:b w:val="0"/>
                <w:color w:val="FF00FF"/>
              </w:rPr>
            </w:pPr>
            <w:r w:rsidRPr="00FD1412">
              <w:rPr>
                <w:color w:val="FF00FF"/>
              </w:rPr>
              <w:t xml:space="preserve">Objektivi specifik </w:t>
            </w:r>
            <w:r w:rsidR="00ED0665" w:rsidRPr="00FD1412">
              <w:rPr>
                <w:color w:val="FF00FF"/>
              </w:rPr>
              <w:t>III</w:t>
            </w:r>
            <w:r w:rsidR="000E1DC5" w:rsidRPr="00FD1412">
              <w:rPr>
                <w:color w:val="FF00FF"/>
              </w:rPr>
              <w:t>.</w:t>
            </w:r>
            <w:r w:rsidRPr="00FD1412">
              <w:rPr>
                <w:color w:val="FF00FF"/>
              </w:rPr>
              <w:t>2:</w:t>
            </w:r>
          </w:p>
        </w:tc>
        <w:tc>
          <w:tcPr>
            <w:tcW w:w="4072" w:type="pct"/>
          </w:tcPr>
          <w:p w:rsidR="003E4DF6" w:rsidRPr="00FD1412" w:rsidRDefault="00ED0665" w:rsidP="00BF02E2">
            <w:pPr>
              <w:spacing w:line="276" w:lineRule="auto"/>
              <w:jc w:val="both"/>
              <w:cnfStyle w:val="000000100000"/>
              <w:rPr>
                <w:bCs/>
                <w:color w:val="FF00FF"/>
              </w:rPr>
            </w:pPr>
            <w:r w:rsidRPr="00FD1412">
              <w:rPr>
                <w:bCs/>
                <w:color w:val="FF00FF"/>
              </w:rPr>
              <w:t>Përmirësimi i ndërgjegjësimit për çështjet LGBTI+ midis punëdhënësve privatë.</w:t>
            </w:r>
          </w:p>
        </w:tc>
      </w:tr>
    </w:tbl>
    <w:p w:rsidR="00003FD2" w:rsidRPr="001B1D14" w:rsidRDefault="00003FD2" w:rsidP="00BF02E2">
      <w:pPr>
        <w:spacing w:line="276" w:lineRule="auto"/>
        <w:jc w:val="both"/>
      </w:pPr>
    </w:p>
    <w:p w:rsidR="00C4426C" w:rsidRPr="001B1D14" w:rsidRDefault="00C4426C" w:rsidP="00BF02E2">
      <w:pPr>
        <w:spacing w:line="276" w:lineRule="auto"/>
        <w:jc w:val="both"/>
      </w:pPr>
      <w:r w:rsidRPr="007746E1">
        <w:t xml:space="preserve">Më konkretisht, nën </w:t>
      </w:r>
      <w:r w:rsidRPr="007746E1">
        <w:rPr>
          <w:b/>
        </w:rPr>
        <w:t xml:space="preserve">objektivin specifik </w:t>
      </w:r>
      <w:r w:rsidR="00ED0665">
        <w:rPr>
          <w:b/>
        </w:rPr>
        <w:t>III</w:t>
      </w:r>
      <w:r w:rsidRPr="007746E1">
        <w:rPr>
          <w:b/>
        </w:rPr>
        <w:t>.1. “</w:t>
      </w:r>
      <w:r w:rsidR="00784B40" w:rsidRPr="00FD1412">
        <w:rPr>
          <w:b/>
        </w:rPr>
        <w:t>Edukimi i shoqërisë me parimet e barazisë, gjithëpërfshirjes dhe mosdiskriminimit kundrejt personave LGBTI+</w:t>
      </w:r>
      <w:r w:rsidRPr="007746E1">
        <w:rPr>
          <w:b/>
        </w:rPr>
        <w:t xml:space="preserve">”, </w:t>
      </w:r>
      <w:r w:rsidRPr="007746E1">
        <w:t>janë parashikuar:</w:t>
      </w:r>
    </w:p>
    <w:p w:rsidR="00690EA6" w:rsidRPr="007746E1" w:rsidRDefault="00690EA6" w:rsidP="00BF02E2">
      <w:pPr>
        <w:spacing w:line="276" w:lineRule="auto"/>
      </w:pPr>
    </w:p>
    <w:p w:rsidR="001C21C8" w:rsidRPr="007746E1" w:rsidRDefault="001C21C8" w:rsidP="001C21C8">
      <w:pPr>
        <w:spacing w:line="276" w:lineRule="auto"/>
        <w:jc w:val="both"/>
        <w:rPr>
          <w:b/>
        </w:rPr>
      </w:pPr>
      <w:r w:rsidRPr="007746E1">
        <w:rPr>
          <w:b/>
        </w:rPr>
        <w:t>Rezultat</w:t>
      </w:r>
      <w:r w:rsidR="00784B40">
        <w:rPr>
          <w:b/>
        </w:rPr>
        <w:t>i i pritsh</w:t>
      </w:r>
      <w:r w:rsidR="008551B5">
        <w:rPr>
          <w:b/>
        </w:rPr>
        <w:t>ë</w:t>
      </w:r>
      <w:r w:rsidR="00784B40">
        <w:rPr>
          <w:b/>
        </w:rPr>
        <w:t>m</w:t>
      </w:r>
      <w:r w:rsidRPr="007746E1">
        <w:rPr>
          <w:b/>
        </w:rPr>
        <w:t>:</w:t>
      </w:r>
    </w:p>
    <w:p w:rsidR="00784B40" w:rsidRDefault="00784B40" w:rsidP="00BF02E2">
      <w:pPr>
        <w:tabs>
          <w:tab w:val="left" w:pos="810"/>
        </w:tabs>
        <w:spacing w:line="276" w:lineRule="auto"/>
        <w:ind w:left="810" w:hanging="810"/>
        <w:jc w:val="both"/>
        <w:rPr>
          <w:lang w:val="en-US"/>
        </w:rPr>
      </w:pPr>
      <w:r w:rsidRPr="00784B40">
        <w:rPr>
          <w:lang w:val="en-US"/>
        </w:rPr>
        <w:t>i. Një brez i ri më i hapur, jo paragjykues dhe pranues kundrejt personave LGBTI+ në Shqipëri</w:t>
      </w:r>
      <w:r w:rsidR="00FD1412">
        <w:rPr>
          <w:lang w:val="en-US"/>
        </w:rPr>
        <w:t>.</w:t>
      </w:r>
    </w:p>
    <w:p w:rsidR="00784B40" w:rsidRDefault="00784B40" w:rsidP="00BF02E2">
      <w:pPr>
        <w:tabs>
          <w:tab w:val="left" w:pos="810"/>
        </w:tabs>
        <w:spacing w:line="276" w:lineRule="auto"/>
        <w:ind w:left="810" w:hanging="810"/>
        <w:jc w:val="both"/>
        <w:rPr>
          <w:lang w:val="en-US"/>
        </w:rPr>
      </w:pPr>
    </w:p>
    <w:p w:rsidR="00784B40" w:rsidRPr="00BE000A" w:rsidRDefault="00784B40" w:rsidP="00BF02E2">
      <w:pPr>
        <w:tabs>
          <w:tab w:val="left" w:pos="810"/>
        </w:tabs>
        <w:spacing w:line="276" w:lineRule="auto"/>
        <w:ind w:left="810" w:hanging="810"/>
        <w:jc w:val="both"/>
        <w:rPr>
          <w:b/>
          <w:lang w:val="en-US"/>
        </w:rPr>
      </w:pPr>
      <w:r w:rsidRPr="00BE000A">
        <w:rPr>
          <w:b/>
          <w:lang w:val="en-US"/>
        </w:rPr>
        <w:t>Treguesi:</w:t>
      </w:r>
    </w:p>
    <w:p w:rsidR="00784B40" w:rsidRDefault="00784B40" w:rsidP="00BF02E2">
      <w:pPr>
        <w:tabs>
          <w:tab w:val="left" w:pos="810"/>
        </w:tabs>
        <w:spacing w:line="276" w:lineRule="auto"/>
        <w:ind w:left="810" w:hanging="810"/>
        <w:jc w:val="both"/>
        <w:rPr>
          <w:lang w:val="en-US"/>
        </w:rPr>
      </w:pPr>
      <w:r w:rsidRPr="00784B40">
        <w:rPr>
          <w:lang w:val="en-US"/>
        </w:rPr>
        <w:lastRenderedPageBreak/>
        <w:t>III.1.a. Numri i të rejave e të rinjve që pranojnë dhe nuk diskriminojnë personat LGBTI+ në Shqipëri</w:t>
      </w:r>
    </w:p>
    <w:p w:rsidR="00784B40" w:rsidRDefault="00784B40" w:rsidP="00BF02E2">
      <w:pPr>
        <w:tabs>
          <w:tab w:val="left" w:pos="810"/>
        </w:tabs>
        <w:spacing w:line="276" w:lineRule="auto"/>
        <w:ind w:left="810" w:hanging="810"/>
        <w:jc w:val="both"/>
        <w:rPr>
          <w:lang w:val="en-US"/>
        </w:rPr>
      </w:pPr>
    </w:p>
    <w:p w:rsidR="00784B40" w:rsidRPr="00BE000A" w:rsidRDefault="00103470" w:rsidP="00BF02E2">
      <w:pPr>
        <w:tabs>
          <w:tab w:val="left" w:pos="810"/>
        </w:tabs>
        <w:spacing w:line="276" w:lineRule="auto"/>
        <w:ind w:left="810" w:hanging="810"/>
        <w:jc w:val="both"/>
        <w:rPr>
          <w:b/>
          <w:lang w:val="en-US"/>
        </w:rPr>
      </w:pPr>
      <w:r w:rsidRPr="00103470">
        <w:rPr>
          <w:b/>
          <w:lang w:val="en-US"/>
        </w:rPr>
        <w:t>Masa</w:t>
      </w:r>
      <w:r w:rsidR="00784B40" w:rsidRPr="00BE000A">
        <w:rPr>
          <w:b/>
          <w:lang w:val="en-US"/>
        </w:rPr>
        <w:t>:</w:t>
      </w:r>
    </w:p>
    <w:p w:rsidR="00BB122B" w:rsidRPr="007746E1" w:rsidRDefault="00784B40" w:rsidP="00C70695">
      <w:pPr>
        <w:tabs>
          <w:tab w:val="left" w:pos="810"/>
        </w:tabs>
        <w:spacing w:line="276" w:lineRule="auto"/>
        <w:ind w:left="810" w:hanging="810"/>
        <w:jc w:val="both"/>
        <w:rPr>
          <w:lang w:val="en-US"/>
        </w:rPr>
      </w:pPr>
      <w:r w:rsidRPr="00784B40">
        <w:rPr>
          <w:lang w:val="en-US"/>
        </w:rPr>
        <w:t>III.1.1. Informimi dhe edukimi i vazhdueshëm i shoqërisë me parimet e barazisë, mosdiskriminimit dhe pranimit të personave LGBTI+ në Shq</w:t>
      </w:r>
      <w:r w:rsidR="00FD1412">
        <w:rPr>
          <w:lang w:val="en-US"/>
        </w:rPr>
        <w:t>ipëri.</w:t>
      </w:r>
    </w:p>
    <w:p w:rsidR="00690EA6" w:rsidRPr="007746E1" w:rsidRDefault="00690EA6" w:rsidP="00BF02E2">
      <w:pPr>
        <w:tabs>
          <w:tab w:val="left" w:pos="0"/>
        </w:tabs>
        <w:spacing w:line="276" w:lineRule="auto"/>
        <w:jc w:val="both"/>
        <w:rPr>
          <w:lang w:val="en-US"/>
        </w:rPr>
      </w:pPr>
      <w:r w:rsidRPr="007746E1">
        <w:rPr>
          <w:lang w:val="en-US"/>
        </w:rPr>
        <w:t>Nën</w:t>
      </w:r>
      <w:r w:rsidR="00782BA3" w:rsidRPr="007746E1">
        <w:rPr>
          <w:lang w:val="en-US"/>
        </w:rPr>
        <w:t xml:space="preserve"> </w:t>
      </w:r>
      <w:r w:rsidRPr="007746E1">
        <w:rPr>
          <w:lang w:val="en-US"/>
        </w:rPr>
        <w:t>objektivin</w:t>
      </w:r>
      <w:r w:rsidR="00782BA3" w:rsidRPr="007746E1">
        <w:rPr>
          <w:lang w:val="en-US"/>
        </w:rPr>
        <w:t xml:space="preserve"> </w:t>
      </w:r>
      <w:r w:rsidRPr="007746E1">
        <w:rPr>
          <w:b/>
          <w:lang w:val="en-US"/>
        </w:rPr>
        <w:t xml:space="preserve">specifik </w:t>
      </w:r>
      <w:r w:rsidR="00103470">
        <w:rPr>
          <w:b/>
          <w:lang w:val="en-US"/>
        </w:rPr>
        <w:t>III</w:t>
      </w:r>
      <w:r w:rsidRPr="007746E1">
        <w:rPr>
          <w:b/>
          <w:lang w:val="en-US"/>
        </w:rPr>
        <w:t>.2 “</w:t>
      </w:r>
      <w:r w:rsidR="00103470" w:rsidRPr="00103470">
        <w:rPr>
          <w:b/>
        </w:rPr>
        <w:t>Përmirësimi i ndërgjegjësimit për çështjet LGBTI+ midis punëdhënësve publikë e privatë.</w:t>
      </w:r>
      <w:r w:rsidRPr="007746E1">
        <w:rPr>
          <w:b/>
          <w:lang w:val="en-US"/>
        </w:rPr>
        <w:t>”</w:t>
      </w:r>
      <w:r w:rsidR="00782BA3" w:rsidRPr="007746E1">
        <w:rPr>
          <w:b/>
          <w:lang w:val="en-US"/>
        </w:rPr>
        <w:t xml:space="preserve"> </w:t>
      </w:r>
      <w:r w:rsidRPr="007746E1">
        <w:rPr>
          <w:lang w:val="en-US"/>
        </w:rPr>
        <w:t>janë</w:t>
      </w:r>
      <w:r w:rsidR="00782BA3" w:rsidRPr="007746E1">
        <w:rPr>
          <w:lang w:val="en-US"/>
        </w:rPr>
        <w:t xml:space="preserve"> </w:t>
      </w:r>
      <w:r w:rsidRPr="007746E1">
        <w:rPr>
          <w:lang w:val="en-US"/>
        </w:rPr>
        <w:t>parashikuar:</w:t>
      </w:r>
    </w:p>
    <w:p w:rsidR="00051E27" w:rsidRPr="007746E1" w:rsidRDefault="00051E27" w:rsidP="00BF02E2">
      <w:pPr>
        <w:tabs>
          <w:tab w:val="left" w:pos="0"/>
        </w:tabs>
        <w:spacing w:line="276" w:lineRule="auto"/>
        <w:jc w:val="both"/>
        <w:rPr>
          <w:b/>
          <w:lang w:val="en-US"/>
        </w:rPr>
      </w:pPr>
    </w:p>
    <w:p w:rsidR="001C21C8" w:rsidRPr="007746E1" w:rsidRDefault="001C21C8" w:rsidP="001C21C8">
      <w:pPr>
        <w:spacing w:line="276" w:lineRule="auto"/>
        <w:jc w:val="both"/>
        <w:rPr>
          <w:b/>
        </w:rPr>
      </w:pPr>
      <w:r w:rsidRPr="007746E1">
        <w:rPr>
          <w:b/>
        </w:rPr>
        <w:t>Rezultat</w:t>
      </w:r>
      <w:r w:rsidR="00103470">
        <w:rPr>
          <w:b/>
        </w:rPr>
        <w:t>i i pritsh</w:t>
      </w:r>
      <w:r w:rsidR="008551B5">
        <w:rPr>
          <w:b/>
        </w:rPr>
        <w:t>ë</w:t>
      </w:r>
      <w:r w:rsidR="00103470">
        <w:rPr>
          <w:b/>
        </w:rPr>
        <w:t>m</w:t>
      </w:r>
      <w:r w:rsidRPr="007746E1">
        <w:rPr>
          <w:b/>
        </w:rPr>
        <w:t>:</w:t>
      </w:r>
    </w:p>
    <w:p w:rsidR="00103470" w:rsidRDefault="00103470" w:rsidP="00FD1412">
      <w:pPr>
        <w:tabs>
          <w:tab w:val="left" w:pos="810"/>
        </w:tabs>
        <w:spacing w:line="276" w:lineRule="auto"/>
        <w:ind w:left="180" w:hanging="180"/>
        <w:jc w:val="both"/>
        <w:rPr>
          <w:lang w:val="en-US"/>
        </w:rPr>
      </w:pPr>
      <w:r w:rsidRPr="00103470">
        <w:rPr>
          <w:lang w:val="en-US"/>
        </w:rPr>
        <w:t>i. Një mjedis i punëdhënësish më miqësor dhe i hapur ndaj pranimit dhe punësimit të personave LGBTI+</w:t>
      </w:r>
      <w:r w:rsidR="00FD1412">
        <w:rPr>
          <w:lang w:val="en-US"/>
        </w:rPr>
        <w:t>.</w:t>
      </w:r>
    </w:p>
    <w:p w:rsidR="00103470" w:rsidRDefault="00103470" w:rsidP="006B79CC">
      <w:pPr>
        <w:tabs>
          <w:tab w:val="left" w:pos="810"/>
        </w:tabs>
        <w:spacing w:line="276" w:lineRule="auto"/>
        <w:ind w:left="720" w:hanging="720"/>
        <w:jc w:val="both"/>
        <w:rPr>
          <w:lang w:val="en-US"/>
        </w:rPr>
      </w:pPr>
    </w:p>
    <w:p w:rsidR="00103470" w:rsidRPr="00BE000A" w:rsidRDefault="00103470" w:rsidP="006B79CC">
      <w:pPr>
        <w:tabs>
          <w:tab w:val="left" w:pos="810"/>
        </w:tabs>
        <w:spacing w:line="276" w:lineRule="auto"/>
        <w:ind w:left="720" w:hanging="720"/>
        <w:jc w:val="both"/>
        <w:rPr>
          <w:b/>
          <w:lang w:val="en-US"/>
        </w:rPr>
      </w:pPr>
      <w:r w:rsidRPr="00BE000A">
        <w:rPr>
          <w:b/>
          <w:lang w:val="en-US"/>
        </w:rPr>
        <w:t>Treguesi:</w:t>
      </w:r>
    </w:p>
    <w:p w:rsidR="00103470" w:rsidRDefault="00103470" w:rsidP="006B79CC">
      <w:pPr>
        <w:tabs>
          <w:tab w:val="left" w:pos="810"/>
        </w:tabs>
        <w:spacing w:line="276" w:lineRule="auto"/>
        <w:ind w:left="720" w:hanging="720"/>
        <w:jc w:val="both"/>
        <w:rPr>
          <w:lang w:val="en-US"/>
        </w:rPr>
      </w:pPr>
      <w:r w:rsidRPr="00103470">
        <w:rPr>
          <w:lang w:val="en-US"/>
        </w:rPr>
        <w:t>III.2.a.Numri i ndërmarrjeve / kompanive / bizneseve që bashkohen me K</w:t>
      </w:r>
      <w:r w:rsidR="00FD1412">
        <w:rPr>
          <w:lang w:val="en-US"/>
        </w:rPr>
        <w:t>artën Kombëtare të Diversitetit</w:t>
      </w:r>
      <w:r w:rsidRPr="00103470">
        <w:rPr>
          <w:lang w:val="en-US"/>
        </w:rPr>
        <w:t>.</w:t>
      </w:r>
    </w:p>
    <w:p w:rsidR="00103470" w:rsidRPr="00BE000A" w:rsidRDefault="00103470" w:rsidP="006B79CC">
      <w:pPr>
        <w:tabs>
          <w:tab w:val="left" w:pos="810"/>
        </w:tabs>
        <w:spacing w:line="276" w:lineRule="auto"/>
        <w:ind w:left="720" w:hanging="720"/>
        <w:jc w:val="both"/>
        <w:rPr>
          <w:b/>
          <w:lang w:val="en-US"/>
        </w:rPr>
      </w:pPr>
      <w:r w:rsidRPr="00BE000A">
        <w:rPr>
          <w:b/>
          <w:lang w:val="en-US"/>
        </w:rPr>
        <w:t>Masa:</w:t>
      </w:r>
    </w:p>
    <w:p w:rsidR="00103470" w:rsidRDefault="00103470" w:rsidP="006B79CC">
      <w:pPr>
        <w:tabs>
          <w:tab w:val="left" w:pos="810"/>
        </w:tabs>
        <w:spacing w:line="276" w:lineRule="auto"/>
        <w:ind w:left="720" w:hanging="720"/>
        <w:jc w:val="both"/>
        <w:rPr>
          <w:lang w:val="en-US"/>
        </w:rPr>
      </w:pPr>
      <w:r>
        <w:rPr>
          <w:lang w:val="en-US"/>
        </w:rPr>
        <w:t>III</w:t>
      </w:r>
      <w:r w:rsidRPr="00103470">
        <w:rPr>
          <w:lang w:val="en-US"/>
        </w:rPr>
        <w:t>.2.1.</w:t>
      </w:r>
      <w:r w:rsidRPr="00103470">
        <w:t xml:space="preserve"> </w:t>
      </w:r>
      <w:r w:rsidRPr="00103470">
        <w:rPr>
          <w:lang w:val="en-US"/>
        </w:rPr>
        <w:t>Krijimi i një mjedisi punëdhënësish miqësor dhe pranues kundrejt personave LGBTI+ në Shqipëri</w:t>
      </w:r>
      <w:r w:rsidR="00FD1412">
        <w:rPr>
          <w:lang w:val="en-US"/>
        </w:rPr>
        <w:t>.</w:t>
      </w:r>
    </w:p>
    <w:p w:rsidR="00103470" w:rsidRDefault="00103470" w:rsidP="006B79CC">
      <w:pPr>
        <w:tabs>
          <w:tab w:val="left" w:pos="810"/>
        </w:tabs>
        <w:spacing w:line="276" w:lineRule="auto"/>
        <w:ind w:left="720" w:hanging="720"/>
        <w:jc w:val="both"/>
        <w:rPr>
          <w:lang w:val="en-US"/>
        </w:rPr>
      </w:pPr>
    </w:p>
    <w:p w:rsidR="004C6B93" w:rsidRPr="001B1D14" w:rsidRDefault="004C6B93" w:rsidP="00BF02E2">
      <w:pPr>
        <w:spacing w:line="276" w:lineRule="auto"/>
        <w:ind w:left="900" w:hanging="900"/>
        <w:jc w:val="both"/>
      </w:pPr>
    </w:p>
    <w:p w:rsidR="008E1BF7" w:rsidRPr="00FD1412" w:rsidRDefault="008E1BF7" w:rsidP="00FD1412">
      <w:pPr>
        <w:pStyle w:val="Heading1"/>
        <w:shd w:val="clear" w:color="auto" w:fill="99FFCC"/>
        <w:spacing w:before="0" w:after="0" w:line="276" w:lineRule="auto"/>
        <w:jc w:val="center"/>
        <w:rPr>
          <w:rFonts w:ascii="Times New Roman" w:hAnsi="Times New Roman"/>
          <w:bCs w:val="0"/>
          <w:color w:val="FF00FF"/>
          <w:sz w:val="24"/>
          <w:szCs w:val="24"/>
        </w:rPr>
      </w:pPr>
      <w:bookmarkStart w:id="33" w:name="_Toc79509629"/>
      <w:bookmarkEnd w:id="24"/>
      <w:r w:rsidRPr="00FD1412">
        <w:rPr>
          <w:rFonts w:ascii="Times New Roman" w:hAnsi="Times New Roman"/>
          <w:color w:val="FF00FF"/>
          <w:sz w:val="24"/>
          <w:szCs w:val="24"/>
          <w:shd w:val="clear" w:color="auto" w:fill="99FFCC"/>
        </w:rPr>
        <w:t>PJESA II</w:t>
      </w:r>
      <w:r w:rsidR="00A817DD" w:rsidRPr="00FD1412">
        <w:rPr>
          <w:rFonts w:ascii="Times New Roman" w:hAnsi="Times New Roman"/>
          <w:color w:val="FF00FF"/>
          <w:sz w:val="24"/>
          <w:szCs w:val="24"/>
          <w:shd w:val="clear" w:color="auto" w:fill="99FFCC"/>
        </w:rPr>
        <w:t>I</w:t>
      </w:r>
      <w:r w:rsidRPr="00FD1412">
        <w:rPr>
          <w:rFonts w:ascii="Times New Roman" w:hAnsi="Times New Roman"/>
          <w:color w:val="FF00FF"/>
          <w:sz w:val="24"/>
          <w:szCs w:val="24"/>
          <w:shd w:val="clear" w:color="auto" w:fill="99FFCC"/>
        </w:rPr>
        <w:t xml:space="preserve"> – ZBATIMI</w:t>
      </w:r>
      <w:r w:rsidRPr="00FD1412">
        <w:rPr>
          <w:rFonts w:ascii="Times New Roman" w:hAnsi="Times New Roman"/>
          <w:color w:val="FF00FF"/>
          <w:sz w:val="24"/>
          <w:szCs w:val="24"/>
        </w:rPr>
        <w:t>, PËRGJEGJËSIA E INSTITUCIONEVE, LLOGARIDHËNIA,</w:t>
      </w:r>
      <w:bookmarkEnd w:id="33"/>
    </w:p>
    <w:p w:rsidR="008E1BF7" w:rsidRPr="00FD1412" w:rsidRDefault="008E1BF7" w:rsidP="00FD1412">
      <w:pPr>
        <w:pStyle w:val="Heading1"/>
        <w:shd w:val="clear" w:color="auto" w:fill="99FFCC"/>
        <w:spacing w:before="0" w:after="0" w:line="276" w:lineRule="auto"/>
        <w:jc w:val="center"/>
        <w:rPr>
          <w:rFonts w:ascii="Times New Roman" w:hAnsi="Times New Roman"/>
          <w:bCs w:val="0"/>
          <w:color w:val="FF00FF"/>
          <w:sz w:val="24"/>
          <w:szCs w:val="24"/>
        </w:rPr>
      </w:pPr>
      <w:bookmarkStart w:id="34" w:name="_Toc57367065"/>
      <w:bookmarkStart w:id="35" w:name="_Toc79509630"/>
      <w:r w:rsidRPr="00FD1412">
        <w:rPr>
          <w:rFonts w:ascii="Times New Roman" w:hAnsi="Times New Roman"/>
          <w:color w:val="FF00FF"/>
          <w:sz w:val="24"/>
          <w:szCs w:val="24"/>
        </w:rPr>
        <w:t>RAPORTIMI DHE MONITORIMI</w:t>
      </w:r>
      <w:bookmarkEnd w:id="34"/>
      <w:bookmarkEnd w:id="35"/>
    </w:p>
    <w:p w:rsidR="008E1BF7" w:rsidRPr="00E06E01" w:rsidRDefault="008E1BF7" w:rsidP="00BF02E2">
      <w:pPr>
        <w:pStyle w:val="Heading1"/>
        <w:spacing w:before="0" w:after="0" w:line="276" w:lineRule="auto"/>
        <w:rPr>
          <w:rFonts w:ascii="Times New Roman" w:hAnsi="Times New Roman"/>
          <w:color w:val="4F81BD" w:themeColor="accent1"/>
          <w:sz w:val="24"/>
          <w:szCs w:val="24"/>
        </w:rPr>
      </w:pPr>
    </w:p>
    <w:p w:rsidR="0057340A" w:rsidRPr="00FD1412" w:rsidRDefault="0057340A" w:rsidP="00BF02E2">
      <w:pPr>
        <w:spacing w:line="276" w:lineRule="auto"/>
        <w:jc w:val="both"/>
        <w:rPr>
          <w:color w:val="FF00FF"/>
        </w:rPr>
      </w:pPr>
      <w:r w:rsidRPr="00FD1412">
        <w:rPr>
          <w:b/>
          <w:color w:val="FF00FF"/>
        </w:rPr>
        <w:t>P</w:t>
      </w:r>
      <w:r w:rsidR="003741E5" w:rsidRPr="00FD1412">
        <w:rPr>
          <w:b/>
          <w:color w:val="FF00FF"/>
        </w:rPr>
        <w:t>ë</w:t>
      </w:r>
      <w:r w:rsidRPr="00FD1412">
        <w:rPr>
          <w:b/>
          <w:color w:val="FF00FF"/>
        </w:rPr>
        <w:t>rgjegj</w:t>
      </w:r>
      <w:r w:rsidR="003741E5" w:rsidRPr="00FD1412">
        <w:rPr>
          <w:b/>
          <w:color w:val="FF00FF"/>
        </w:rPr>
        <w:t>ë</w:t>
      </w:r>
      <w:r w:rsidRPr="00FD1412">
        <w:rPr>
          <w:b/>
          <w:color w:val="FF00FF"/>
        </w:rPr>
        <w:t>sia e Institucioneve</w:t>
      </w:r>
    </w:p>
    <w:p w:rsidR="009638DE" w:rsidRPr="008B434D" w:rsidRDefault="009638DE" w:rsidP="009638DE">
      <w:pPr>
        <w:spacing w:line="276" w:lineRule="auto"/>
        <w:jc w:val="both"/>
      </w:pPr>
      <w:r w:rsidRPr="008B434D">
        <w:t xml:space="preserve">Për zbatimin e masave të parashikuara në </w:t>
      </w:r>
      <w:r w:rsidR="002369D1">
        <w:t>“</w:t>
      </w:r>
      <w:r w:rsidRPr="008B434D">
        <w:t>P</w:t>
      </w:r>
      <w:r w:rsidR="00183731" w:rsidRPr="008B434D">
        <w:t xml:space="preserve">KV </w:t>
      </w:r>
      <w:r w:rsidR="00466064" w:rsidRPr="008B434D">
        <w:t>LGBTI</w:t>
      </w:r>
      <w:r w:rsidR="002369D1">
        <w:t>+</w:t>
      </w:r>
      <w:r w:rsidR="00183731" w:rsidRPr="008B434D">
        <w:t xml:space="preserve"> </w:t>
      </w:r>
      <w:r w:rsidRPr="008B434D">
        <w:t>2021</w:t>
      </w:r>
      <w:r w:rsidR="00AA74D5" w:rsidRPr="008B434D">
        <w:t>-</w:t>
      </w:r>
      <w:r w:rsidRPr="008B434D">
        <w:t>20</w:t>
      </w:r>
      <w:r w:rsidR="00183731" w:rsidRPr="008B434D">
        <w:t>27</w:t>
      </w:r>
      <w:r w:rsidR="002369D1">
        <w:t>”</w:t>
      </w:r>
      <w:r w:rsidRPr="008B434D">
        <w:t xml:space="preserve">, do të angazhohen një tërësi institucionesh, duke filluar nga </w:t>
      </w:r>
      <w:r w:rsidR="00183731" w:rsidRPr="008B434D">
        <w:t>ministria pergjegj</w:t>
      </w:r>
      <w:r w:rsidR="00AA74D5" w:rsidRPr="00E1585E">
        <w:rPr>
          <w:bCs/>
        </w:rPr>
        <w:t>ë</w:t>
      </w:r>
      <w:r w:rsidR="00183731" w:rsidRPr="008B434D">
        <w:t>se</w:t>
      </w:r>
      <w:r w:rsidR="002369D1">
        <w:t xml:space="preserve"> për koordinimin e masave dhe veprimeve për adresimin në mënyrën e duhur të çështjeve LGBTI+</w:t>
      </w:r>
      <w:r w:rsidR="00183731" w:rsidRPr="008B434D">
        <w:t xml:space="preserve">, </w:t>
      </w:r>
      <w:r w:rsidRPr="008B434D">
        <w:t>ministritë e linjës</w:t>
      </w:r>
      <w:r w:rsidR="002369D1">
        <w:t xml:space="preserve"> dhe institucionet n</w:t>
      </w:r>
      <w:r w:rsidR="008551B5">
        <w:t>ë</w:t>
      </w:r>
      <w:r w:rsidR="002369D1">
        <w:t xml:space="preserve"> var</w:t>
      </w:r>
      <w:r w:rsidR="008551B5">
        <w:t>ë</w:t>
      </w:r>
      <w:r w:rsidR="002369D1">
        <w:t>si t</w:t>
      </w:r>
      <w:r w:rsidR="008551B5">
        <w:t>ë</w:t>
      </w:r>
      <w:r w:rsidR="002369D1">
        <w:t xml:space="preserve"> tyre n</w:t>
      </w:r>
      <w:r w:rsidR="008551B5">
        <w:t>ë</w:t>
      </w:r>
      <w:r w:rsidR="002369D1">
        <w:t xml:space="preserve"> nivelin vendor</w:t>
      </w:r>
      <w:r w:rsidRPr="008B434D">
        <w:t>, institucionet e pavarura, njësitë e vetëqeverisjes vendore, akademia, organizatat e shoqërisë civile</w:t>
      </w:r>
      <w:r w:rsidR="002369D1">
        <w:t xml:space="preserve"> të fokusuara në mbrojtjen e të drejtave njerëzore, informimin dhe ndërgjegjësimin e publikut mbi të drejtat dhe zbatimin e tyre në praktikë, ofrimin e shërbimeve mbështetëse të specializuara për grupet e cenueshme dhe në mënyrë të veçantë vetë organizatat LGBTI+, si </w:t>
      </w:r>
      <w:r w:rsidRPr="008B434D">
        <w:t>dhe organizatat ndërkombëtare.</w:t>
      </w:r>
    </w:p>
    <w:p w:rsidR="009638DE" w:rsidRPr="008B434D" w:rsidRDefault="009638DE" w:rsidP="009638DE">
      <w:pPr>
        <w:spacing w:line="276" w:lineRule="auto"/>
        <w:jc w:val="both"/>
      </w:pPr>
    </w:p>
    <w:p w:rsidR="009638DE" w:rsidRPr="00E1585E" w:rsidRDefault="002369D1" w:rsidP="009638DE">
      <w:pPr>
        <w:spacing w:line="276" w:lineRule="auto"/>
        <w:jc w:val="both"/>
      </w:pPr>
      <w:r>
        <w:t>Siç edhe p</w:t>
      </w:r>
      <w:r w:rsidR="00BD35BA">
        <w:t>ë</w:t>
      </w:r>
      <w:r>
        <w:t>rcaktohet qart</w:t>
      </w:r>
      <w:r w:rsidR="00BD35BA">
        <w:t>ë</w:t>
      </w:r>
      <w:r>
        <w:t>sisht n</w:t>
      </w:r>
      <w:r w:rsidR="00BD35BA">
        <w:t>ë</w:t>
      </w:r>
      <w:r>
        <w:t xml:space="preserve"> Matric</w:t>
      </w:r>
      <w:r w:rsidR="00BD35BA">
        <w:t>ë</w:t>
      </w:r>
      <w:r>
        <w:t>n e Logjik</w:t>
      </w:r>
      <w:r w:rsidR="00BD35BA">
        <w:t>ë</w:t>
      </w:r>
      <w:r>
        <w:t>s s</w:t>
      </w:r>
      <w:r w:rsidR="00BD35BA">
        <w:t>ë</w:t>
      </w:r>
      <w:r>
        <w:t xml:space="preserve"> Nd</w:t>
      </w:r>
      <w:r w:rsidR="00BD35BA">
        <w:t>ë</w:t>
      </w:r>
      <w:r>
        <w:t>rhyrjes (Aneksi 4  i PKV), institucionet kan</w:t>
      </w:r>
      <w:r w:rsidR="00BD35BA">
        <w:t>ë</w:t>
      </w:r>
      <w:r>
        <w:t xml:space="preserve"> p</w:t>
      </w:r>
      <w:r w:rsidR="00BD35BA">
        <w:t>ë</w:t>
      </w:r>
      <w:r>
        <w:t>rgjegj</w:t>
      </w:r>
      <w:r w:rsidR="00BD35BA">
        <w:t>ë</w:t>
      </w:r>
      <w:r>
        <w:t>si direkte p</w:t>
      </w:r>
      <w:r w:rsidR="00BD35BA">
        <w:t>ë</w:t>
      </w:r>
      <w:r>
        <w:t>r zbatimin</w:t>
      </w:r>
      <w:r w:rsidR="00BD35BA">
        <w:t xml:space="preserve"> e </w:t>
      </w:r>
      <w:r>
        <w:t>masave dhe veprimeve t</w:t>
      </w:r>
      <w:r w:rsidR="00BD35BA">
        <w:t>ë</w:t>
      </w:r>
      <w:r>
        <w:t xml:space="preserve"> caktuara, po</w:t>
      </w:r>
      <w:r w:rsidR="00BD35BA">
        <w:t>r</w:t>
      </w:r>
      <w:r>
        <w:t xml:space="preserve"> </w:t>
      </w:r>
      <w:r w:rsidR="00BD35BA">
        <w:t>gjith</w:t>
      </w:r>
      <w:r>
        <w:t>ashtu jan</w:t>
      </w:r>
      <w:r w:rsidR="00BD35BA">
        <w:t>ë edhe</w:t>
      </w:r>
      <w:r>
        <w:t xml:space="preserve"> n</w:t>
      </w:r>
      <w:r w:rsidR="00BD35BA">
        <w:t>ë</w:t>
      </w:r>
      <w:r>
        <w:t xml:space="preserve"> </w:t>
      </w:r>
      <w:r w:rsidR="00BD35BA">
        <w:t>pozicionin mbështetës appo bash</w:t>
      </w:r>
      <w:r>
        <w:t>k</w:t>
      </w:r>
      <w:r w:rsidR="00BD35BA">
        <w:t>ë</w:t>
      </w:r>
      <w:r>
        <w:t>punues t</w:t>
      </w:r>
      <w:r w:rsidR="00BD35BA">
        <w:t>ë</w:t>
      </w:r>
      <w:r>
        <w:t xml:space="preserve"> institucionit kryesor p</w:t>
      </w:r>
      <w:r w:rsidR="00BD35BA">
        <w:t>ë</w:t>
      </w:r>
      <w:r>
        <w:t>rgjegj</w:t>
      </w:r>
      <w:r w:rsidR="00BD35BA">
        <w:t>ë</w:t>
      </w:r>
      <w:r>
        <w:t xml:space="preserve">s. </w:t>
      </w:r>
      <w:r w:rsidR="00BD35BA">
        <w:t>Për vetë pozic</w:t>
      </w:r>
      <w:r>
        <w:t>ionin koordinues, si dhe p</w:t>
      </w:r>
      <w:r w:rsidR="00BD35BA">
        <w:t>ë</w:t>
      </w:r>
      <w:r>
        <w:t>r rolin kryesor n</w:t>
      </w:r>
      <w:r w:rsidR="00BD35BA">
        <w:t>ë</w:t>
      </w:r>
      <w:r>
        <w:t xml:space="preserve"> p</w:t>
      </w:r>
      <w:r w:rsidR="00BD35BA">
        <w:t>ë</w:t>
      </w:r>
      <w:r>
        <w:t>rgatitjen e k</w:t>
      </w:r>
      <w:r w:rsidR="00BD35BA">
        <w:t>ë</w:t>
      </w:r>
      <w:r>
        <w:t>tij PK</w:t>
      </w:r>
      <w:r w:rsidR="00BD35BA">
        <w:t>V</w:t>
      </w:r>
      <w:r>
        <w:t xml:space="preserve">, </w:t>
      </w:r>
      <w:r w:rsidR="009638DE" w:rsidRPr="008B434D">
        <w:t>M</w:t>
      </w:r>
      <w:r w:rsidR="00AA74D5" w:rsidRPr="008B434D">
        <w:t>SHMS</w:t>
      </w:r>
      <w:r w:rsidR="00BD35BA">
        <w:t xml:space="preserve"> ë</w:t>
      </w:r>
      <w:r>
        <w:t>sht</w:t>
      </w:r>
      <w:r w:rsidR="00BD35BA">
        <w:t>ë</w:t>
      </w:r>
      <w:r>
        <w:t xml:space="preserve"> p</w:t>
      </w:r>
      <w:r w:rsidR="00BD35BA">
        <w:t>ë</w:t>
      </w:r>
      <w:r>
        <w:t>rcaktuar edhe si</w:t>
      </w:r>
      <w:r w:rsidR="009638DE" w:rsidRPr="008B434D">
        <w:t xml:space="preserve"> institucioni</w:t>
      </w:r>
      <w:r w:rsidR="00BD35BA">
        <w:t xml:space="preserve"> </w:t>
      </w:r>
      <w:r>
        <w:t xml:space="preserve">kryesor </w:t>
      </w:r>
      <w:r w:rsidR="009638DE" w:rsidRPr="008B434D">
        <w:t xml:space="preserve">përgjegjës </w:t>
      </w:r>
      <w:r>
        <w:t>p</w:t>
      </w:r>
      <w:r w:rsidR="00BD35BA">
        <w:t>ë</w:t>
      </w:r>
      <w:r>
        <w:t xml:space="preserve">rsa i takon </w:t>
      </w:r>
      <w:r w:rsidR="009638DE" w:rsidRPr="008B434D">
        <w:t xml:space="preserve"> raportimit për progresin  </w:t>
      </w:r>
      <w:r>
        <w:t>n</w:t>
      </w:r>
      <w:r w:rsidR="00BD35BA">
        <w:t>ë</w:t>
      </w:r>
      <w:r>
        <w:t xml:space="preserve"> zbatimin e PKV. Kuptohet q</w:t>
      </w:r>
      <w:r w:rsidR="00BD35BA">
        <w:t>ë</w:t>
      </w:r>
      <w:r>
        <w:t xml:space="preserve"> sikurse n</w:t>
      </w:r>
      <w:r w:rsidR="00BD35BA">
        <w:t>ë</w:t>
      </w:r>
      <w:r>
        <w:t xml:space="preserve"> zbatim, edhe n</w:t>
      </w:r>
      <w:r w:rsidR="00BD35BA">
        <w:t>ë</w:t>
      </w:r>
      <w:r>
        <w:t xml:space="preserve"> p</w:t>
      </w:r>
      <w:r w:rsidR="00BD35BA">
        <w:t>ë</w:t>
      </w:r>
      <w:r>
        <w:t>rgatitjen e raportimit mbi ecurin</w:t>
      </w:r>
      <w:r w:rsidR="00BD35BA">
        <w:t>ë</w:t>
      </w:r>
      <w:r>
        <w:t xml:space="preserve"> e </w:t>
      </w:r>
      <w:r w:rsidR="00BD35BA">
        <w:t xml:space="preserve">veprimeve të ndërmarra ka shumë rëndësi mbështetja dhe bashkëpunimi i të gjithë partnerëve dhe bashkëpunëtorëve. </w:t>
      </w:r>
    </w:p>
    <w:p w:rsidR="00CE40DB" w:rsidRPr="00E1585E" w:rsidRDefault="00CE40DB" w:rsidP="00BF02E2">
      <w:pPr>
        <w:spacing w:line="276" w:lineRule="auto"/>
        <w:jc w:val="both"/>
      </w:pPr>
    </w:p>
    <w:p w:rsidR="00A817DD" w:rsidRPr="00FD1412" w:rsidRDefault="004A095F" w:rsidP="00BF02E2">
      <w:pPr>
        <w:pStyle w:val="Heading2"/>
        <w:spacing w:before="0" w:line="276" w:lineRule="auto"/>
        <w:rPr>
          <w:rFonts w:ascii="Times New Roman" w:eastAsia="Times New Roman" w:hAnsi="Times New Roman"/>
          <w:color w:val="FF00FF"/>
          <w:spacing w:val="14"/>
          <w:sz w:val="24"/>
          <w:szCs w:val="24"/>
        </w:rPr>
      </w:pPr>
      <w:bookmarkStart w:id="36" w:name="_Toc431753939"/>
      <w:bookmarkStart w:id="37" w:name="_Toc442265928"/>
      <w:bookmarkStart w:id="38" w:name="_Toc442266642"/>
      <w:bookmarkStart w:id="39" w:name="_Toc79509631"/>
      <w:r w:rsidRPr="00FD1412">
        <w:rPr>
          <w:rFonts w:ascii="Times New Roman" w:hAnsi="Times New Roman"/>
          <w:color w:val="FF00FF"/>
          <w:spacing w:val="14"/>
          <w:sz w:val="24"/>
        </w:rPr>
        <w:lastRenderedPageBreak/>
        <w:t>Llogar</w:t>
      </w:r>
      <w:r w:rsidR="004D0E30" w:rsidRPr="00FD1412">
        <w:rPr>
          <w:rFonts w:ascii="Times New Roman" w:hAnsi="Times New Roman"/>
          <w:color w:val="FF00FF"/>
          <w:spacing w:val="14"/>
          <w:sz w:val="24"/>
        </w:rPr>
        <w:t>idh</w:t>
      </w:r>
      <w:r w:rsidR="003741E5" w:rsidRPr="00FD1412">
        <w:rPr>
          <w:rFonts w:ascii="Times New Roman" w:hAnsi="Times New Roman"/>
          <w:color w:val="FF00FF"/>
          <w:spacing w:val="14"/>
          <w:sz w:val="24"/>
        </w:rPr>
        <w:t>ë</w:t>
      </w:r>
      <w:r w:rsidR="004D0E30" w:rsidRPr="00FD1412">
        <w:rPr>
          <w:rFonts w:ascii="Times New Roman" w:hAnsi="Times New Roman"/>
          <w:color w:val="FF00FF"/>
          <w:spacing w:val="14"/>
          <w:sz w:val="24"/>
        </w:rPr>
        <w:t xml:space="preserve">nia, </w:t>
      </w:r>
      <w:r w:rsidR="00A817DD" w:rsidRPr="00FD1412">
        <w:rPr>
          <w:rFonts w:ascii="Times New Roman" w:hAnsi="Times New Roman"/>
          <w:color w:val="FF00FF"/>
          <w:spacing w:val="14"/>
          <w:sz w:val="24"/>
        </w:rPr>
        <w:t>Monitorimi</w:t>
      </w:r>
      <w:r w:rsidR="008E3C33" w:rsidRPr="00FD1412">
        <w:rPr>
          <w:rFonts w:ascii="Times New Roman" w:hAnsi="Times New Roman"/>
          <w:color w:val="FF00FF"/>
          <w:spacing w:val="14"/>
          <w:sz w:val="24"/>
        </w:rPr>
        <w:t xml:space="preserve"> dhe Raportimi</w:t>
      </w:r>
      <w:bookmarkEnd w:id="36"/>
      <w:bookmarkEnd w:id="37"/>
      <w:bookmarkEnd w:id="38"/>
      <w:bookmarkEnd w:id="39"/>
    </w:p>
    <w:p w:rsidR="00D61BA4" w:rsidRPr="00E1585E" w:rsidRDefault="00D61BA4" w:rsidP="00BF02E2">
      <w:pPr>
        <w:autoSpaceDE w:val="0"/>
        <w:autoSpaceDN w:val="0"/>
        <w:adjustRightInd w:val="0"/>
        <w:spacing w:line="276" w:lineRule="auto"/>
        <w:jc w:val="both"/>
        <w:rPr>
          <w:b/>
        </w:rPr>
      </w:pPr>
      <w:r w:rsidRPr="00E1585E">
        <w:rPr>
          <w:b/>
        </w:rPr>
        <w:t>Llogaridhënia</w:t>
      </w:r>
    </w:p>
    <w:p w:rsidR="009638DE" w:rsidRPr="008B434D" w:rsidRDefault="009638DE" w:rsidP="009638DE">
      <w:pPr>
        <w:autoSpaceDE w:val="0"/>
        <w:autoSpaceDN w:val="0"/>
        <w:adjustRightInd w:val="0"/>
        <w:spacing w:line="276" w:lineRule="auto"/>
        <w:jc w:val="both"/>
      </w:pPr>
      <w:r w:rsidRPr="008B434D">
        <w:t>Kuadri monitorues do të ushqejë orientimin e politikave në kuadër të Sistemit të Planifikimit të Integruar (SPI) i cili është sistemi kryesor vendimmarrës që përcakton drejtimin strategjik dhe alokimin e burimeve të vendit. Ai do të furnizojë me raporte monitoruese dhe vlerësuese G</w:t>
      </w:r>
      <w:r w:rsidR="00AA74D5" w:rsidRPr="008B434D">
        <w:t>KZK</w:t>
      </w:r>
      <w:r w:rsidRPr="008B434D">
        <w:rPr>
          <w:color w:val="000000"/>
          <w:shd w:val="clear" w:color="auto" w:fill="FFFFFF"/>
        </w:rPr>
        <w:t xml:space="preserve">. </w:t>
      </w:r>
      <w:r w:rsidRPr="008B434D">
        <w:t xml:space="preserve">Përqasja dhe rishikimi i </w:t>
      </w:r>
      <w:r w:rsidR="00F45338" w:rsidRPr="008B434D">
        <w:t xml:space="preserve">ketij </w:t>
      </w:r>
      <w:r w:rsidRPr="008B434D">
        <w:t>dokumenti strategjik do të jetë sipas kërkesave të VKM nr. 290, datë 11.04.2020 “Për krijimin e bazës së të dhënave shtetërore të sistemit informatik të planifikimit të integruar (SIPI/IPSIS), për të siguruar përputhshmërinë me sistemin IPSIS”.</w:t>
      </w:r>
    </w:p>
    <w:p w:rsidR="009638DE" w:rsidRPr="008B434D" w:rsidRDefault="009638DE" w:rsidP="009638DE">
      <w:pPr>
        <w:autoSpaceDE w:val="0"/>
        <w:autoSpaceDN w:val="0"/>
        <w:adjustRightInd w:val="0"/>
        <w:spacing w:line="276" w:lineRule="auto"/>
        <w:jc w:val="both"/>
      </w:pPr>
    </w:p>
    <w:p w:rsidR="009638DE" w:rsidRDefault="009638DE" w:rsidP="009638DE">
      <w:pPr>
        <w:spacing w:line="276" w:lineRule="auto"/>
        <w:jc w:val="both"/>
      </w:pPr>
      <w:r w:rsidRPr="008B434D">
        <w:t xml:space="preserve">Ndërsa për përcaktimin e bazës së treguesve për masat e reja të propozuara, sugjerohet që të ndërmerren veprimet e vlerësimit të situatës dhe përcaktimit të kësaj baze përmes sondazheve e studimeve dhe vendosja një sistemi të mirë organizuar në mbledhjen e të dhënave të ndara sipas </w:t>
      </w:r>
      <w:r w:rsidR="00F45338" w:rsidRPr="008B434D">
        <w:t>grupimeve p</w:t>
      </w:r>
      <w:r w:rsidR="00EA53A6">
        <w:t>ë</w:t>
      </w:r>
      <w:r w:rsidR="00F45338" w:rsidRPr="008B434D">
        <w:t>rkat</w:t>
      </w:r>
      <w:r w:rsidR="00EA53A6">
        <w:t>ë</w:t>
      </w:r>
      <w:r w:rsidR="00F45338" w:rsidRPr="008B434D">
        <w:t>se</w:t>
      </w:r>
      <w:r w:rsidR="00EA53A6">
        <w:t>, ku të mos mungojë edhe ndarja</w:t>
      </w:r>
      <w:r w:rsidR="00F45338" w:rsidRPr="008B434D">
        <w:t xml:space="preserve"> sipas orientimit seksual</w:t>
      </w:r>
      <w:r w:rsidR="00EA53A6">
        <w:t xml:space="preserve"> e shprehjes së identitetit gjinor</w:t>
      </w:r>
      <w:r w:rsidRPr="008B434D">
        <w:t>, për të gjitha aktivitetet që do të zbatohen në kuadër të kë</w:t>
      </w:r>
      <w:r w:rsidR="00F45338" w:rsidRPr="008B434D">
        <w:t>tij PKV</w:t>
      </w:r>
      <w:r w:rsidRPr="008B434D">
        <w:t>.</w:t>
      </w:r>
    </w:p>
    <w:p w:rsidR="00042035" w:rsidRDefault="00042035" w:rsidP="00BF02E2">
      <w:pPr>
        <w:autoSpaceDE w:val="0"/>
        <w:autoSpaceDN w:val="0"/>
        <w:adjustRightInd w:val="0"/>
        <w:spacing w:line="276" w:lineRule="auto"/>
        <w:jc w:val="both"/>
      </w:pPr>
    </w:p>
    <w:p w:rsidR="0009203F" w:rsidRPr="0009203F" w:rsidRDefault="0009203F" w:rsidP="00BF02E2">
      <w:pPr>
        <w:autoSpaceDE w:val="0"/>
        <w:autoSpaceDN w:val="0"/>
        <w:adjustRightInd w:val="0"/>
        <w:spacing w:line="276" w:lineRule="auto"/>
        <w:jc w:val="both"/>
        <w:rPr>
          <w:b/>
        </w:rPr>
      </w:pPr>
      <w:r w:rsidRPr="0009203F">
        <w:rPr>
          <w:b/>
        </w:rPr>
        <w:t>Monitorimi</w:t>
      </w:r>
    </w:p>
    <w:p w:rsidR="009638DE" w:rsidRPr="008B434D" w:rsidRDefault="009638DE" w:rsidP="009638DE">
      <w:pPr>
        <w:autoSpaceDE w:val="0"/>
        <w:autoSpaceDN w:val="0"/>
        <w:adjustRightInd w:val="0"/>
        <w:spacing w:line="276" w:lineRule="auto"/>
        <w:jc w:val="both"/>
      </w:pPr>
      <w:r w:rsidRPr="008B434D">
        <w:t>Monitorimi i progresit të zbatimit të objektivave dhe masave të kë</w:t>
      </w:r>
      <w:r w:rsidR="00F45338" w:rsidRPr="008B434D">
        <w:t>t</w:t>
      </w:r>
      <w:r w:rsidR="00AA74D5" w:rsidRPr="008B434D">
        <w:t>i</w:t>
      </w:r>
      <w:r w:rsidR="00F45338" w:rsidRPr="008B434D">
        <w:t xml:space="preserve">j PKV </w:t>
      </w:r>
      <w:r w:rsidRPr="008B434D">
        <w:t xml:space="preserve">do të paraqitet në mënyrë periodike në </w:t>
      </w:r>
      <w:r w:rsidR="00F45338" w:rsidRPr="008B434D">
        <w:t>G</w:t>
      </w:r>
      <w:r w:rsidR="00AA74D5" w:rsidRPr="008B434D">
        <w:t>KZK</w:t>
      </w:r>
      <w:r w:rsidRPr="008B434D">
        <w:t xml:space="preserve">. </w:t>
      </w:r>
      <w:r w:rsidR="007C150A">
        <w:t xml:space="preserve">Për të lehtësuar procesin e mbledhjes së të dhënave në kuadër të monitorimit periodik të zbatimit të PKV, MSHMS do të përgatisë mjetet e nevojshme për mbledhjen e informacioinit, në përputhje dhe me formatet e miratuara dhe të kërkuara për plotësim gjatë raportimit në GKZK. Gjithashtu do të orientojë paraprakisht të gjitha institucionet qendrore, vendore si dhe instituciobet e pavarura, mbi përgjegjësitë që kanë për hedhjen e hapave të përvitshëm në zbatimin e masave dhe aktiviteteve të planifikuara, në pozicionin e institucionit krysor përgjegjës. </w:t>
      </w:r>
    </w:p>
    <w:p w:rsidR="009638DE" w:rsidRPr="008B434D" w:rsidRDefault="009638DE" w:rsidP="009638DE">
      <w:pPr>
        <w:autoSpaceDE w:val="0"/>
        <w:autoSpaceDN w:val="0"/>
        <w:adjustRightInd w:val="0"/>
        <w:spacing w:line="276" w:lineRule="auto"/>
        <w:jc w:val="both"/>
      </w:pPr>
    </w:p>
    <w:p w:rsidR="009638DE" w:rsidRDefault="009638DE" w:rsidP="009638DE">
      <w:pPr>
        <w:spacing w:line="276" w:lineRule="auto"/>
        <w:jc w:val="both"/>
      </w:pPr>
      <w:r w:rsidRPr="008B434D">
        <w:t>Gjatë punës së përditshme, përgjegjësia për monitorimin e zbatimit të P</w:t>
      </w:r>
      <w:r w:rsidR="00F45338" w:rsidRPr="008B434D">
        <w:t>KV</w:t>
      </w:r>
      <w:r w:rsidRPr="008B434D">
        <w:t xml:space="preserve"> qëndron te</w:t>
      </w:r>
      <w:r w:rsidR="00CB5E3B">
        <w:t>k të gjitha institucionet e pë</w:t>
      </w:r>
      <w:r w:rsidR="007C150A">
        <w:t>rcaktuara si in</w:t>
      </w:r>
      <w:r w:rsidR="00CB5E3B">
        <w:t>s</w:t>
      </w:r>
      <w:r w:rsidR="007C150A">
        <w:t>titucione kryesore p</w:t>
      </w:r>
      <w:r w:rsidR="00CB5E3B">
        <w:t>ë</w:t>
      </w:r>
      <w:r w:rsidR="007C150A">
        <w:t>rgjegj</w:t>
      </w:r>
      <w:r w:rsidR="00CB5E3B">
        <w:t>ë</w:t>
      </w:r>
      <w:r w:rsidR="007C150A">
        <w:t>se p</w:t>
      </w:r>
      <w:r w:rsidR="00CB5E3B">
        <w:t>ë</w:t>
      </w:r>
      <w:r w:rsidR="007C150A">
        <w:t>r nd</w:t>
      </w:r>
      <w:r w:rsidR="00CB5E3B">
        <w:t>ë</w:t>
      </w:r>
      <w:r w:rsidR="007C150A">
        <w:t>rmarrjen e veprimeve t</w:t>
      </w:r>
      <w:r w:rsidR="00CB5E3B">
        <w:t>ë</w:t>
      </w:r>
      <w:r w:rsidR="007C150A">
        <w:t xml:space="preserve"> caktuara, nd</w:t>
      </w:r>
      <w:r w:rsidR="00CB5E3B">
        <w:t>ë</w:t>
      </w:r>
      <w:r w:rsidR="007C150A">
        <w:t>rsa tek Nj</w:t>
      </w:r>
      <w:r w:rsidR="00CB5E3B">
        <w:t>ë</w:t>
      </w:r>
      <w:r w:rsidR="007C150A">
        <w:t>sit</w:t>
      </w:r>
      <w:r w:rsidR="00CB5E3B">
        <w:t>ë</w:t>
      </w:r>
      <w:r w:rsidR="007C150A">
        <w:t xml:space="preserve"> e Vet</w:t>
      </w:r>
      <w:r w:rsidR="00CB5E3B">
        <w:t>ë</w:t>
      </w:r>
      <w:r w:rsidR="007C150A">
        <w:t xml:space="preserve">qeverisjes Vendore, </w:t>
      </w:r>
      <w:r w:rsidRPr="008B434D">
        <w:t xml:space="preserve">nëpunëset/nëpunësit e barazisë gjinore </w:t>
      </w:r>
      <w:r w:rsidR="007C150A">
        <w:t>do t</w:t>
      </w:r>
      <w:r w:rsidR="00CB5E3B">
        <w:t>ë</w:t>
      </w:r>
      <w:r w:rsidR="007C150A">
        <w:t xml:space="preserve"> jen</w:t>
      </w:r>
      <w:r w:rsidR="00CB5E3B">
        <w:t>ë</w:t>
      </w:r>
      <w:r w:rsidR="007C150A">
        <w:t xml:space="preserve"> p</w:t>
      </w:r>
      <w:r w:rsidR="00CB5E3B">
        <w:t>ë</w:t>
      </w:r>
      <w:r w:rsidR="007C150A">
        <w:t>rgjegj</w:t>
      </w:r>
      <w:r w:rsidR="00CB5E3B">
        <w:t>ë</w:t>
      </w:r>
      <w:r w:rsidR="007C150A">
        <w:t>s p</w:t>
      </w:r>
      <w:r w:rsidR="00CB5E3B">
        <w:t>ë</w:t>
      </w:r>
      <w:r w:rsidR="007C150A">
        <w:t>r dh</w:t>
      </w:r>
      <w:r w:rsidR="00CB5E3B">
        <w:t>ë</w:t>
      </w:r>
      <w:r w:rsidR="007C150A">
        <w:t>nien e informaconit mbi aktivitete</w:t>
      </w:r>
      <w:r w:rsidR="00CB5E3B">
        <w:t>t</w:t>
      </w:r>
      <w:r w:rsidR="007C150A">
        <w:t xml:space="preserve"> e zhvilluara me n</w:t>
      </w:r>
      <w:r w:rsidR="00CB5E3B">
        <w:t>ë</w:t>
      </w:r>
      <w:r w:rsidR="007C150A">
        <w:t xml:space="preserve"> fokus ç</w:t>
      </w:r>
      <w:r w:rsidR="00CB5E3B">
        <w:t>ë</w:t>
      </w:r>
      <w:r w:rsidR="007C150A">
        <w:t>shtjet LGBTI+. Menaxhimi i rasteve t</w:t>
      </w:r>
      <w:r w:rsidR="00CB5E3B">
        <w:t>ë</w:t>
      </w:r>
      <w:r w:rsidR="007C150A">
        <w:t xml:space="preserve"> personave LGBTI+ t</w:t>
      </w:r>
      <w:r w:rsidR="00CB5E3B">
        <w:t>ë</w:t>
      </w:r>
      <w:r w:rsidR="007C150A">
        <w:t xml:space="preserve"> dhunuar n</w:t>
      </w:r>
      <w:r w:rsidR="00CB5E3B">
        <w:t>ë</w:t>
      </w:r>
      <w:r w:rsidR="007C150A">
        <w:t xml:space="preserve"> familje, do t</w:t>
      </w:r>
      <w:r w:rsidR="00CB5E3B">
        <w:t>ë</w:t>
      </w:r>
      <w:r w:rsidR="007C150A">
        <w:t xml:space="preserve"> kryhet p</w:t>
      </w:r>
      <w:r w:rsidR="00CB5E3B">
        <w:t>ë</w:t>
      </w:r>
      <w:r w:rsidR="007C150A">
        <w:t>rmes qasjes shum</w:t>
      </w:r>
      <w:r w:rsidR="00CB5E3B">
        <w:t>ë</w:t>
      </w:r>
      <w:r w:rsidR="007C150A">
        <w:t>sektoriale t</w:t>
      </w:r>
      <w:r w:rsidR="00CB5E3B">
        <w:t>ë</w:t>
      </w:r>
      <w:r w:rsidR="007C150A">
        <w:t xml:space="preserve"> koordinuar, p</w:t>
      </w:r>
      <w:r w:rsidR="00CB5E3B">
        <w:t>ë</w:t>
      </w:r>
      <w:r w:rsidR="007C150A">
        <w:t>rmes pun</w:t>
      </w:r>
      <w:r w:rsidR="00CB5E3B">
        <w:t>ë</w:t>
      </w:r>
      <w:r w:rsidR="007C150A">
        <w:t>s s</w:t>
      </w:r>
      <w:r w:rsidR="00CB5E3B">
        <w:t>ë</w:t>
      </w:r>
      <w:r w:rsidR="007C150A">
        <w:t xml:space="preserve"> </w:t>
      </w:r>
      <w:r w:rsidR="00FD1412">
        <w:t>Koordinoato</w:t>
      </w:r>
      <w:r w:rsidR="00CB5E3B">
        <w:t xml:space="preserve">reve/Koordinatorëve Vendorë </w:t>
      </w:r>
      <w:r w:rsidR="00FD1412">
        <w:t xml:space="preserve">(KV) </w:t>
      </w:r>
      <w:r w:rsidR="00CB5E3B">
        <w:t>dhe antarëve të Ekipit Teknik Ndërdisiplinar të MKR-ve të ngritura në të 61 bashkitë në vend, si dhe duke angazhuar edhe Njësitë e Mbrojtjes së Fëmijëve</w:t>
      </w:r>
      <w:r w:rsidR="00FD1412">
        <w:t xml:space="preserve"> (NJMF)</w:t>
      </w:r>
      <w:r w:rsidR="00CB5E3B">
        <w:t xml:space="preserve">, nëse bëhet fjalë për fëmijë LGBTI+ të dhunuar në familje. Kjo nënkupton që edhe raportimi për raste të tilla të menaxhuara do të kryhet përmes KV dhe NJMF. </w:t>
      </w:r>
    </w:p>
    <w:p w:rsidR="00CB5E3B" w:rsidRPr="008B434D" w:rsidRDefault="00CB5E3B" w:rsidP="009638DE">
      <w:pPr>
        <w:spacing w:line="276" w:lineRule="auto"/>
        <w:jc w:val="both"/>
      </w:pPr>
    </w:p>
    <w:p w:rsidR="009638DE" w:rsidRPr="008B434D" w:rsidRDefault="009638DE" w:rsidP="009638DE">
      <w:pPr>
        <w:spacing w:line="276" w:lineRule="auto"/>
        <w:jc w:val="both"/>
      </w:pPr>
      <w:r w:rsidRPr="008B434D">
        <w:t>MSHMS ka rol koordinues dhe raporton në mënyrë periodike mbi ecurinë e zbatimit vjetor</w:t>
      </w:r>
      <w:r w:rsidR="00031297">
        <w:t xml:space="preserve"> të PKV</w:t>
      </w:r>
      <w:r w:rsidRPr="008B434D">
        <w:t xml:space="preserve">. Organizatat e shoqërisë civile luajnë gjithashtu një rol të rëndësishëm në ndërgjegjësimin rreth problemeve, në zbatimin dhe mbështetjen e proceseve të mbledhjes së të dhënave, ofrimit të shërbimeve dhe zbatimit të legjislacionit e politikave në tërësi, për avancimin drejt </w:t>
      </w:r>
      <w:r w:rsidR="00F45338" w:rsidRPr="008B434D">
        <w:t>respektimit t</w:t>
      </w:r>
      <w:r w:rsidR="00031297">
        <w:t>ë</w:t>
      </w:r>
      <w:r w:rsidR="00F45338" w:rsidRPr="008B434D">
        <w:t xml:space="preserve"> t</w:t>
      </w:r>
      <w:r w:rsidR="00031297">
        <w:t>ë</w:t>
      </w:r>
      <w:r w:rsidR="00F45338" w:rsidRPr="008B434D">
        <w:t xml:space="preserve"> drejtave kushtetuese dhe t</w:t>
      </w:r>
      <w:r w:rsidR="00031297">
        <w:t>ë</w:t>
      </w:r>
      <w:r w:rsidR="00F45338" w:rsidRPr="008B434D">
        <w:t xml:space="preserve"> njeriut t</w:t>
      </w:r>
      <w:r w:rsidR="00031297">
        <w:t>ë</w:t>
      </w:r>
      <w:r w:rsidR="00F45338" w:rsidRPr="008B434D">
        <w:t xml:space="preserve"> personave </w:t>
      </w:r>
      <w:r w:rsidR="00466064" w:rsidRPr="008B434D">
        <w:t>LGBTI</w:t>
      </w:r>
      <w:r w:rsidR="00031297">
        <w:t>+</w:t>
      </w:r>
      <w:r w:rsidRPr="008B434D">
        <w:t>.</w:t>
      </w:r>
    </w:p>
    <w:p w:rsidR="009638DE" w:rsidRPr="008B434D" w:rsidRDefault="009638DE" w:rsidP="009638DE">
      <w:pPr>
        <w:spacing w:line="276" w:lineRule="auto"/>
        <w:jc w:val="both"/>
      </w:pPr>
    </w:p>
    <w:p w:rsidR="00AA74D5" w:rsidRPr="008B434D" w:rsidRDefault="009638DE" w:rsidP="009638DE">
      <w:pPr>
        <w:spacing w:line="276" w:lineRule="auto"/>
        <w:jc w:val="both"/>
      </w:pPr>
      <w:r w:rsidRPr="008B434D">
        <w:lastRenderedPageBreak/>
        <w:t xml:space="preserve">Krahas zbatimit të masave të përcaktuara në </w:t>
      </w:r>
      <w:r w:rsidR="00F45338" w:rsidRPr="008B434D">
        <w:t>PKV</w:t>
      </w:r>
      <w:r w:rsidRPr="008B434D">
        <w:t>, monitorimi i vazhdueshëm i strukturave të angazhuara për përmbushjen e detyrimeve që rrjedhin nga ky dokument, konsiderohet i nevojshëm për të analizuar gjendjen reale gjatë zbatimit të tij me qëllim përmbushjen e objektivave në mënyrë sa më efektive.</w:t>
      </w:r>
    </w:p>
    <w:p w:rsidR="009638DE" w:rsidRPr="008B434D" w:rsidRDefault="009638DE" w:rsidP="009638DE">
      <w:pPr>
        <w:spacing w:line="276" w:lineRule="auto"/>
        <w:jc w:val="both"/>
      </w:pPr>
      <w:r w:rsidRPr="008B434D">
        <w:t xml:space="preserve"> </w:t>
      </w:r>
    </w:p>
    <w:p w:rsidR="009638DE" w:rsidRPr="008B434D" w:rsidRDefault="009638DE" w:rsidP="009638DE">
      <w:pPr>
        <w:spacing w:line="276" w:lineRule="auto"/>
        <w:jc w:val="both"/>
      </w:pPr>
      <w:r w:rsidRPr="008B434D">
        <w:t xml:space="preserve">Më konkretisht do të ndërmerren këto masa: </w:t>
      </w:r>
    </w:p>
    <w:p w:rsidR="009638DE" w:rsidRPr="008B434D" w:rsidRDefault="009638DE" w:rsidP="009638DE">
      <w:pPr>
        <w:pStyle w:val="ListParagraph"/>
        <w:numPr>
          <w:ilvl w:val="0"/>
          <w:numId w:val="34"/>
        </w:numPr>
        <w:spacing w:line="276" w:lineRule="auto"/>
        <w:jc w:val="both"/>
      </w:pPr>
      <w:r w:rsidRPr="008B434D">
        <w:t xml:space="preserve">do të monitorohen treguesit e përcaktuar në </w:t>
      </w:r>
      <w:r w:rsidR="00AA74D5" w:rsidRPr="008B434D">
        <w:t>PKV</w:t>
      </w:r>
      <w:r w:rsidRPr="008B434D">
        <w:t xml:space="preserve">; </w:t>
      </w:r>
    </w:p>
    <w:p w:rsidR="009638DE" w:rsidRPr="008B434D" w:rsidRDefault="009638DE" w:rsidP="009638DE">
      <w:pPr>
        <w:pStyle w:val="ListParagraph"/>
        <w:numPr>
          <w:ilvl w:val="0"/>
          <w:numId w:val="34"/>
        </w:numPr>
        <w:spacing w:line="276" w:lineRule="auto"/>
        <w:jc w:val="both"/>
      </w:pPr>
      <w:r w:rsidRPr="008B434D">
        <w:t xml:space="preserve">do të rekomandohen ndryshime në programet sektoriale, duke pasur parasysh arritjet, rrethanat, risqet si dhe eksperiencat e mëparshme, në përputhje </w:t>
      </w:r>
      <w:r w:rsidR="00031297">
        <w:t xml:space="preserve">edhe </w:t>
      </w:r>
      <w:r w:rsidRPr="008B434D">
        <w:t>me rekomandimet e progres raporteve të Bashkimit Evropian</w:t>
      </w:r>
      <w:r w:rsidR="00F45338" w:rsidRPr="008B434D">
        <w:t>, ECRI</w:t>
      </w:r>
      <w:r w:rsidRPr="008B434D">
        <w:t xml:space="preserve"> dhe dokumentave të tjerë ndërkombëtarë; </w:t>
      </w:r>
    </w:p>
    <w:p w:rsidR="009638DE" w:rsidRPr="008B434D" w:rsidRDefault="009638DE" w:rsidP="009638DE">
      <w:pPr>
        <w:pStyle w:val="ListParagraph"/>
        <w:numPr>
          <w:ilvl w:val="0"/>
          <w:numId w:val="34"/>
        </w:numPr>
        <w:spacing w:line="276" w:lineRule="auto"/>
        <w:jc w:val="both"/>
      </w:pPr>
      <w:r w:rsidRPr="008B434D">
        <w:t xml:space="preserve">do të sigurohen konsultime me palët e interesit, përfshirë shpërndarjen sistematike të informacionit për publikun; </w:t>
      </w:r>
    </w:p>
    <w:p w:rsidR="009638DE" w:rsidRPr="008B434D" w:rsidRDefault="009638DE" w:rsidP="009638DE">
      <w:pPr>
        <w:pStyle w:val="ListParagraph"/>
        <w:numPr>
          <w:ilvl w:val="0"/>
          <w:numId w:val="34"/>
        </w:numPr>
        <w:spacing w:line="276" w:lineRule="auto"/>
        <w:jc w:val="both"/>
      </w:pPr>
      <w:r w:rsidRPr="008B434D">
        <w:t xml:space="preserve">do të kryhet monitorim dhe do të hartohen raporte vjetore për monitorimin dhe koordinimin e zbatimit të objektivave dhe masave të </w:t>
      </w:r>
      <w:r w:rsidR="00F45338" w:rsidRPr="008B434D">
        <w:t>PKV</w:t>
      </w:r>
      <w:r w:rsidRPr="008B434D">
        <w:t xml:space="preserve">. </w:t>
      </w:r>
    </w:p>
    <w:p w:rsidR="009638DE" w:rsidRPr="008B434D" w:rsidRDefault="009638DE" w:rsidP="009638DE">
      <w:pPr>
        <w:spacing w:line="276" w:lineRule="auto"/>
        <w:jc w:val="both"/>
      </w:pPr>
    </w:p>
    <w:p w:rsidR="009638DE" w:rsidRDefault="009638DE" w:rsidP="009638DE">
      <w:pPr>
        <w:spacing w:line="276" w:lineRule="auto"/>
        <w:jc w:val="both"/>
      </w:pPr>
      <w:r w:rsidRPr="008B434D">
        <w:t xml:space="preserve">Përmirësimet në sistemin e monitorimit dhe vlerësimit synojnë të lehtësojnë/ndihmojnë në përafrimin e kuadrit strategjik dhe prioriteteve në fusha të ndryshme dhe të informojnë për politikat e vendit të lidhura me avancimin drejt </w:t>
      </w:r>
      <w:r w:rsidR="00F45338" w:rsidRPr="008B434D">
        <w:t>respektimit t</w:t>
      </w:r>
      <w:r w:rsidR="00031297">
        <w:t>ë</w:t>
      </w:r>
      <w:r w:rsidR="00F45338" w:rsidRPr="008B434D">
        <w:t xml:space="preserve"> t</w:t>
      </w:r>
      <w:r w:rsidR="00031297">
        <w:t>ë</w:t>
      </w:r>
      <w:r w:rsidR="00F45338" w:rsidRPr="008B434D">
        <w:t xml:space="preserve"> drejtave kushtetuese dhe t</w:t>
      </w:r>
      <w:r w:rsidR="00031297">
        <w:t>ë</w:t>
      </w:r>
      <w:r w:rsidR="00F45338" w:rsidRPr="008B434D">
        <w:t xml:space="preserve"> njeriut t</w:t>
      </w:r>
      <w:r w:rsidR="00031297">
        <w:t>ë</w:t>
      </w:r>
      <w:r w:rsidR="00F45338" w:rsidRPr="008B434D">
        <w:t xml:space="preserve"> personave </w:t>
      </w:r>
      <w:r w:rsidR="00466064" w:rsidRPr="008B434D">
        <w:t>LGBTI</w:t>
      </w:r>
      <w:r w:rsidR="00031297">
        <w:t>+</w:t>
      </w:r>
      <w:r w:rsidR="00F45338" w:rsidRPr="008B434D">
        <w:t xml:space="preserve">. </w:t>
      </w:r>
      <w:r>
        <w:t xml:space="preserve"> </w:t>
      </w:r>
    </w:p>
    <w:p w:rsidR="00042035" w:rsidRDefault="00042035" w:rsidP="00BF02E2">
      <w:pPr>
        <w:spacing w:line="276" w:lineRule="auto"/>
        <w:jc w:val="both"/>
      </w:pPr>
    </w:p>
    <w:p w:rsidR="0009203F" w:rsidRPr="00AA74D5" w:rsidRDefault="00042035" w:rsidP="00BF02E2">
      <w:pPr>
        <w:spacing w:line="276" w:lineRule="auto"/>
        <w:jc w:val="both"/>
        <w:rPr>
          <w:b/>
          <w:bCs/>
        </w:rPr>
      </w:pPr>
      <w:r w:rsidRPr="00AA74D5">
        <w:rPr>
          <w:b/>
          <w:bCs/>
        </w:rPr>
        <w:t>Vlerësimi</w:t>
      </w:r>
    </w:p>
    <w:p w:rsidR="009638DE" w:rsidRPr="00AA74D5" w:rsidRDefault="009638DE" w:rsidP="009638DE">
      <w:pPr>
        <w:spacing w:line="276" w:lineRule="auto"/>
        <w:jc w:val="both"/>
      </w:pPr>
      <w:r w:rsidRPr="007459B8">
        <w:t xml:space="preserve">Për shkak të kohëzgjatjes </w:t>
      </w:r>
      <w:r w:rsidR="00F45338" w:rsidRPr="007459B8">
        <w:t>shtat</w:t>
      </w:r>
      <w:r w:rsidRPr="007459B8">
        <w:t xml:space="preserve">ëvjeçare të zbatimit të </w:t>
      </w:r>
      <w:r w:rsidR="00F36B67">
        <w:t>“</w:t>
      </w:r>
      <w:r w:rsidR="00F45338" w:rsidRPr="007459B8">
        <w:t>PKV</w:t>
      </w:r>
      <w:r w:rsidR="00F36B67">
        <w:t xml:space="preserve"> LGBTI+ 2021 – 2027”</w:t>
      </w:r>
      <w:r w:rsidRPr="007459B8">
        <w:t>, është menduar që përveç monitorimeve vjetore të zbatimit të kë</w:t>
      </w:r>
      <w:r w:rsidR="00F45338" w:rsidRPr="007459B8">
        <w:t>tij PKV</w:t>
      </w:r>
      <w:r w:rsidRPr="007459B8">
        <w:t xml:space="preserve">, të ketë edhe një proces vlerësimi të pëgjithshëm në </w:t>
      </w:r>
      <w:r w:rsidR="00AA74D5" w:rsidRPr="007459B8">
        <w:t xml:space="preserve">fundin e </w:t>
      </w:r>
      <w:r w:rsidRPr="007459B8">
        <w:t>viti</w:t>
      </w:r>
      <w:r w:rsidR="00AA74D5" w:rsidRPr="007459B8">
        <w:t>t</w:t>
      </w:r>
      <w:r w:rsidRPr="007459B8">
        <w:t xml:space="preserve"> </w:t>
      </w:r>
      <w:r w:rsidR="00AA74D5" w:rsidRPr="007459B8">
        <w:t>t</w:t>
      </w:r>
      <w:r w:rsidR="00AA74D5" w:rsidRPr="00AA74D5">
        <w:rPr>
          <w:bCs/>
        </w:rPr>
        <w:t>ë</w:t>
      </w:r>
      <w:r w:rsidRPr="007459B8">
        <w:t xml:space="preserve"> </w:t>
      </w:r>
      <w:r w:rsidR="00AA74D5" w:rsidRPr="007459B8">
        <w:t>kat</w:t>
      </w:r>
      <w:r w:rsidR="00AA74D5" w:rsidRPr="00AA74D5">
        <w:rPr>
          <w:bCs/>
        </w:rPr>
        <w:t>ë</w:t>
      </w:r>
      <w:r w:rsidR="00AA74D5" w:rsidRPr="007459B8">
        <w:t xml:space="preserve">rt </w:t>
      </w:r>
      <w:r w:rsidRPr="007459B8">
        <w:t xml:space="preserve">të zbatimit të </w:t>
      </w:r>
      <w:r w:rsidR="00F45338" w:rsidRPr="007459B8">
        <w:t>tij</w:t>
      </w:r>
      <w:r w:rsidRPr="007459B8">
        <w:t>. Bazuar mbi këtë vlerësim mund të ndyshohen/hiqen (nëse janë realizuar plotësisht) dhe shtohen jo vetëm veprime e masa, por edhe objektiva specifikë nën qëllimet strategjike bazë.</w:t>
      </w:r>
    </w:p>
    <w:p w:rsidR="00D61BA4" w:rsidRPr="00AA74D5" w:rsidRDefault="00D61BA4" w:rsidP="00BF02E2">
      <w:pPr>
        <w:spacing w:line="276" w:lineRule="auto"/>
        <w:jc w:val="both"/>
      </w:pPr>
    </w:p>
    <w:p w:rsidR="00D61BA4" w:rsidRPr="00AA74D5" w:rsidRDefault="0009203F" w:rsidP="00BF02E2">
      <w:pPr>
        <w:spacing w:line="276" w:lineRule="auto"/>
        <w:jc w:val="both"/>
        <w:rPr>
          <w:b/>
        </w:rPr>
      </w:pPr>
      <w:r w:rsidRPr="00AA74D5">
        <w:rPr>
          <w:b/>
        </w:rPr>
        <w:t>Raportimi</w:t>
      </w:r>
    </w:p>
    <w:p w:rsidR="009638DE" w:rsidRPr="007459B8" w:rsidRDefault="009638DE" w:rsidP="009638DE">
      <w:pPr>
        <w:spacing w:line="276" w:lineRule="auto"/>
        <w:jc w:val="both"/>
      </w:pPr>
      <w:r w:rsidRPr="007459B8">
        <w:t xml:space="preserve">Të gjithë institucionet e ngarkuara me zbatimin e </w:t>
      </w:r>
      <w:r w:rsidR="00F36B67">
        <w:t>“</w:t>
      </w:r>
      <w:r w:rsidR="00F45338" w:rsidRPr="007459B8">
        <w:t xml:space="preserve">PKV </w:t>
      </w:r>
      <w:r w:rsidR="00AA74D5" w:rsidRPr="007459B8">
        <w:t>LGBTI</w:t>
      </w:r>
      <w:r w:rsidR="00F36B67">
        <w:t>+</w:t>
      </w:r>
      <w:r w:rsidR="00AA74D5" w:rsidRPr="007459B8">
        <w:t xml:space="preserve"> </w:t>
      </w:r>
      <w:r w:rsidRPr="007459B8">
        <w:t>2021</w:t>
      </w:r>
      <w:r w:rsidR="00F45338" w:rsidRPr="007459B8">
        <w:t>-2027</w:t>
      </w:r>
      <w:r w:rsidR="00F36B67">
        <w:t>”</w:t>
      </w:r>
      <w:r w:rsidRPr="007459B8">
        <w:t xml:space="preserve"> do të hartojnë raporte mbi bazë 6-mujore dhe një vjeçare në zbatim të detyrimeve të përcaktuara në këtë </w:t>
      </w:r>
      <w:r w:rsidR="00F45338" w:rsidRPr="007459B8">
        <w:t>PKV</w:t>
      </w:r>
      <w:r w:rsidRPr="007459B8">
        <w:t xml:space="preserve">, si dhe do të hedhin të dhëna në sistemin IPSIS. </w:t>
      </w:r>
    </w:p>
    <w:p w:rsidR="009638DE" w:rsidRPr="007459B8" w:rsidRDefault="009638DE" w:rsidP="009638DE">
      <w:pPr>
        <w:spacing w:line="276" w:lineRule="auto"/>
        <w:jc w:val="both"/>
      </w:pPr>
      <w:r w:rsidRPr="007459B8">
        <w:t xml:space="preserve">MSHMS do të jetë institucioni udhëheqës, i cili do të mbledhë, përpunojë dhe analizojë raportet periodike 6-mujore dhe 1-vjeçare që do të përcillen nga të gjitha institucionet e ngarkuara në përmbushje të objektivave dhe masave përkatëse. </w:t>
      </w:r>
    </w:p>
    <w:p w:rsidR="009638DE" w:rsidRPr="007459B8" w:rsidRDefault="009638DE" w:rsidP="009638DE">
      <w:pPr>
        <w:spacing w:line="276" w:lineRule="auto"/>
        <w:jc w:val="both"/>
      </w:pPr>
    </w:p>
    <w:p w:rsidR="009638DE" w:rsidRDefault="009638DE" w:rsidP="009638DE">
      <w:pPr>
        <w:spacing w:line="276" w:lineRule="auto"/>
        <w:jc w:val="both"/>
      </w:pPr>
      <w:r w:rsidRPr="007459B8">
        <w:t xml:space="preserve">Institucionet </w:t>
      </w:r>
      <w:r w:rsidR="00AA74D5" w:rsidRPr="007459B8">
        <w:t>p</w:t>
      </w:r>
      <w:r w:rsidR="00AA74D5" w:rsidRPr="00AA74D5">
        <w:rPr>
          <w:bCs/>
        </w:rPr>
        <w:t>ë</w:t>
      </w:r>
      <w:r w:rsidR="00AA74D5" w:rsidRPr="007459B8">
        <w:t>rkat</w:t>
      </w:r>
      <w:r w:rsidR="00AA74D5" w:rsidRPr="00AA74D5">
        <w:rPr>
          <w:bCs/>
        </w:rPr>
        <w:t>ë</w:t>
      </w:r>
      <w:r w:rsidR="00AA74D5" w:rsidRPr="007459B8">
        <w:t xml:space="preserve">se </w:t>
      </w:r>
      <w:r w:rsidRPr="007459B8">
        <w:t xml:space="preserve">duhet të raportojnë periodikisht për realizimin e masave, me periodicitet 6 mujor përmes të dhënave të raportuara në Sistemin Informativ për Planifikimin Strategjik të Integruar (IPSIS) në Këshillin e Ministrave dhe në Sekretariatin Teknik Ndërinstitucional. </w:t>
      </w:r>
    </w:p>
    <w:p w:rsidR="00BB122B" w:rsidRDefault="00BB122B" w:rsidP="00BF02E2">
      <w:pPr>
        <w:spacing w:line="276" w:lineRule="auto"/>
        <w:jc w:val="both"/>
      </w:pPr>
    </w:p>
    <w:p w:rsidR="00BB122B" w:rsidRDefault="00BB122B" w:rsidP="00BF02E2">
      <w:pPr>
        <w:spacing w:line="276" w:lineRule="auto"/>
        <w:jc w:val="both"/>
      </w:pPr>
    </w:p>
    <w:p w:rsidR="005C5C03" w:rsidRPr="007927AA" w:rsidRDefault="005C5C03" w:rsidP="007A2B7D">
      <w:pPr>
        <w:pStyle w:val="Heading1"/>
        <w:shd w:val="clear" w:color="auto" w:fill="99FFCC"/>
        <w:spacing w:before="0" w:after="0" w:line="276" w:lineRule="auto"/>
        <w:jc w:val="center"/>
        <w:rPr>
          <w:rFonts w:ascii="Times New Roman" w:hAnsi="Times New Roman"/>
          <w:color w:val="1F497D" w:themeColor="text2"/>
          <w:sz w:val="28"/>
          <w:szCs w:val="28"/>
        </w:rPr>
      </w:pPr>
      <w:bookmarkStart w:id="40" w:name="_Toc79509632"/>
      <w:r w:rsidRPr="007105DB">
        <w:rPr>
          <w:rFonts w:ascii="Times New Roman" w:hAnsi="Times New Roman"/>
          <w:color w:val="FF00FF"/>
          <w:sz w:val="28"/>
          <w:szCs w:val="28"/>
          <w:shd w:val="clear" w:color="auto" w:fill="99FFCC"/>
        </w:rPr>
        <w:lastRenderedPageBreak/>
        <w:t>PJESA IV: ANALIZA BUXHETORE</w:t>
      </w:r>
      <w:bookmarkEnd w:id="40"/>
    </w:p>
    <w:p w:rsidR="007927AA" w:rsidRPr="007A2B7D" w:rsidRDefault="007927AA" w:rsidP="00BF02E2">
      <w:pPr>
        <w:spacing w:line="276" w:lineRule="auto"/>
        <w:jc w:val="both"/>
        <w:rPr>
          <w:color w:val="FF00FF"/>
        </w:rPr>
      </w:pPr>
    </w:p>
    <w:p w:rsidR="0015232B" w:rsidRPr="00C70695" w:rsidRDefault="00B836F4" w:rsidP="00C70695">
      <w:pPr>
        <w:pStyle w:val="Heading2"/>
        <w:spacing w:before="0" w:line="276" w:lineRule="auto"/>
        <w:rPr>
          <w:rFonts w:ascii="Times New Roman" w:hAnsi="Times New Roman"/>
          <w:color w:val="FF00FF"/>
          <w:sz w:val="24"/>
          <w:szCs w:val="24"/>
        </w:rPr>
      </w:pPr>
      <w:bookmarkStart w:id="41" w:name="_Toc60216538"/>
      <w:bookmarkStart w:id="42" w:name="_Toc79509633"/>
      <w:bookmarkEnd w:id="12"/>
      <w:bookmarkEnd w:id="13"/>
      <w:bookmarkEnd w:id="14"/>
      <w:bookmarkEnd w:id="15"/>
      <w:bookmarkEnd w:id="16"/>
      <w:r w:rsidRPr="007A2B7D">
        <w:rPr>
          <w:rFonts w:ascii="Times New Roman" w:hAnsi="Times New Roman"/>
          <w:color w:val="FF00FF"/>
          <w:sz w:val="24"/>
          <w:szCs w:val="24"/>
        </w:rPr>
        <w:t xml:space="preserve">4.1. Analiza e buxhetit për zbatimin e </w:t>
      </w:r>
      <w:bookmarkEnd w:id="41"/>
      <w:r w:rsidR="00F36B67" w:rsidRPr="007A2B7D">
        <w:rPr>
          <w:rFonts w:ascii="Times New Roman" w:hAnsi="Times New Roman"/>
          <w:color w:val="FF00FF"/>
          <w:sz w:val="24"/>
          <w:szCs w:val="24"/>
        </w:rPr>
        <w:t>“</w:t>
      </w:r>
      <w:r w:rsidR="00B621A7" w:rsidRPr="007A2B7D">
        <w:rPr>
          <w:rFonts w:ascii="Times New Roman" w:hAnsi="Times New Roman"/>
          <w:color w:val="FF00FF"/>
          <w:sz w:val="24"/>
          <w:szCs w:val="24"/>
        </w:rPr>
        <w:t>PKV</w:t>
      </w:r>
      <w:r w:rsidRPr="007A2B7D">
        <w:rPr>
          <w:rFonts w:ascii="Times New Roman" w:hAnsi="Times New Roman"/>
          <w:color w:val="FF00FF"/>
          <w:sz w:val="24"/>
          <w:szCs w:val="24"/>
        </w:rPr>
        <w:t xml:space="preserve"> </w:t>
      </w:r>
      <w:r w:rsidR="00F36B67" w:rsidRPr="007A2B7D">
        <w:rPr>
          <w:rFonts w:ascii="Times New Roman" w:hAnsi="Times New Roman"/>
          <w:color w:val="FF00FF"/>
          <w:sz w:val="24"/>
          <w:szCs w:val="24"/>
        </w:rPr>
        <w:t xml:space="preserve">LGBTI+ </w:t>
      </w:r>
      <w:r w:rsidRPr="007A2B7D">
        <w:rPr>
          <w:rFonts w:ascii="Times New Roman" w:hAnsi="Times New Roman"/>
          <w:color w:val="FF00FF"/>
          <w:sz w:val="24"/>
          <w:szCs w:val="24"/>
        </w:rPr>
        <w:t>2021-202</w:t>
      </w:r>
      <w:r w:rsidR="00B621A7" w:rsidRPr="007A2B7D">
        <w:rPr>
          <w:rFonts w:ascii="Times New Roman" w:hAnsi="Times New Roman"/>
          <w:color w:val="FF00FF"/>
          <w:sz w:val="24"/>
          <w:szCs w:val="24"/>
        </w:rPr>
        <w:t>7</w:t>
      </w:r>
      <w:r w:rsidR="00F36B67" w:rsidRPr="007A2B7D">
        <w:rPr>
          <w:rFonts w:ascii="Times New Roman" w:hAnsi="Times New Roman"/>
          <w:color w:val="FF00FF"/>
          <w:sz w:val="24"/>
          <w:szCs w:val="24"/>
        </w:rPr>
        <w:t>”</w:t>
      </w:r>
      <w:bookmarkEnd w:id="42"/>
    </w:p>
    <w:p w:rsidR="00B836F4" w:rsidRPr="003A3E69" w:rsidRDefault="00B836F4" w:rsidP="00BF02E2">
      <w:pPr>
        <w:autoSpaceDE w:val="0"/>
        <w:autoSpaceDN w:val="0"/>
        <w:spacing w:line="276" w:lineRule="auto"/>
        <w:jc w:val="both"/>
        <w:rPr>
          <w:color w:val="000000"/>
          <w:sz w:val="22"/>
        </w:rPr>
      </w:pPr>
      <w:r w:rsidRPr="00C442E2">
        <w:rPr>
          <w:color w:val="000000"/>
        </w:rPr>
        <w:t xml:space="preserve">Ky kapitull përshkruan shpërndarjen </w:t>
      </w:r>
      <w:r>
        <w:rPr>
          <w:color w:val="000000"/>
        </w:rPr>
        <w:t>e kostove indikative dhe</w:t>
      </w:r>
      <w:r w:rsidRPr="00C442E2">
        <w:rPr>
          <w:color w:val="000000"/>
        </w:rPr>
        <w:t xml:space="preserve"> burimeve financiare që financojnë </w:t>
      </w:r>
      <w:r>
        <w:rPr>
          <w:color w:val="000000"/>
        </w:rPr>
        <w:t>masat</w:t>
      </w:r>
      <w:r w:rsidRPr="00C442E2">
        <w:rPr>
          <w:color w:val="000000"/>
        </w:rPr>
        <w:t xml:space="preserve"> e </w:t>
      </w:r>
      <w:r w:rsidR="00F36B67">
        <w:rPr>
          <w:color w:val="000000"/>
        </w:rPr>
        <w:t>“</w:t>
      </w:r>
      <w:r w:rsidR="00B621A7">
        <w:rPr>
          <w:color w:val="000000"/>
        </w:rPr>
        <w:t xml:space="preserve">PKV </w:t>
      </w:r>
      <w:r w:rsidR="00F36B67">
        <w:rPr>
          <w:color w:val="000000"/>
        </w:rPr>
        <w:t xml:space="preserve">LGBTI+ </w:t>
      </w:r>
      <w:r>
        <w:rPr>
          <w:color w:val="000000"/>
        </w:rPr>
        <w:t>2021-20</w:t>
      </w:r>
      <w:r w:rsidR="00B621A7">
        <w:rPr>
          <w:color w:val="000000"/>
        </w:rPr>
        <w:t>27</w:t>
      </w:r>
      <w:r w:rsidR="00F36B67">
        <w:rPr>
          <w:color w:val="000000"/>
        </w:rPr>
        <w:t>”</w:t>
      </w:r>
      <w:r w:rsidRPr="00C442E2">
        <w:rPr>
          <w:color w:val="000000"/>
        </w:rPr>
        <w:t xml:space="preserve">. </w:t>
      </w:r>
      <w:r w:rsidRPr="00C442E2">
        <w:t xml:space="preserve">Efektet financiare janë përllogaritur </w:t>
      </w:r>
      <w:r>
        <w:t>për</w:t>
      </w:r>
      <w:r w:rsidRPr="00C442E2">
        <w:t xml:space="preserve"> çdo </w:t>
      </w:r>
      <w:r>
        <w:t>masë</w:t>
      </w:r>
      <w:r w:rsidRPr="00C442E2">
        <w:t xml:space="preserve"> bazuar në </w:t>
      </w:r>
      <w:r>
        <w:t>aktivitetet</w:t>
      </w:r>
      <w:r w:rsidRPr="00C442E2">
        <w:t xml:space="preserve"> që janë të parashikuar në P</w:t>
      </w:r>
      <w:r w:rsidR="00B621A7">
        <w:t xml:space="preserve">KV </w:t>
      </w:r>
      <w:r w:rsidR="00901916">
        <w:t>dhe mb</w:t>
      </w:r>
      <w:r w:rsidR="00086A00">
        <w:t>ë</w:t>
      </w:r>
      <w:r w:rsidR="00901916">
        <w:t>shtetur n</w:t>
      </w:r>
      <w:r w:rsidR="00086A00">
        <w:t>ë</w:t>
      </w:r>
      <w:r w:rsidR="00901916">
        <w:t xml:space="preserve"> analiz</w:t>
      </w:r>
      <w:r w:rsidR="00086A00">
        <w:t>ë</w:t>
      </w:r>
      <w:r w:rsidR="00901916">
        <w:t>n e b</w:t>
      </w:r>
      <w:r w:rsidR="00086A00">
        <w:t>ë</w:t>
      </w:r>
      <w:r w:rsidR="00901916">
        <w:t>r</w:t>
      </w:r>
      <w:r w:rsidR="00086A00">
        <w:t>ë</w:t>
      </w:r>
      <w:r w:rsidR="00901916">
        <w:t xml:space="preserve"> p</w:t>
      </w:r>
      <w:r w:rsidR="00086A00">
        <w:t>ë</w:t>
      </w:r>
      <w:r w:rsidR="00901916">
        <w:t>r nevojat p</w:t>
      </w:r>
      <w:r w:rsidR="00086A00">
        <w:t>ë</w:t>
      </w:r>
      <w:r w:rsidR="00901916">
        <w:t>r burime p</w:t>
      </w:r>
      <w:r w:rsidR="00086A00">
        <w:t>ë</w:t>
      </w:r>
      <w:r w:rsidR="00901916">
        <w:t>r secilin aktivitet.</w:t>
      </w:r>
      <w:r w:rsidRPr="00C442E2">
        <w:t xml:space="preserve"> Efektet financiare </w:t>
      </w:r>
      <w:r w:rsidR="00901916">
        <w:t>parashikohet t</w:t>
      </w:r>
      <w:r w:rsidR="00086A00">
        <w:t>ë</w:t>
      </w:r>
      <w:r w:rsidR="00901916">
        <w:t xml:space="preserve"> </w:t>
      </w:r>
      <w:r w:rsidRPr="00C442E2">
        <w:t>përballohen nga buxhetet respektive vjetore të institucioneve të ngarkuara</w:t>
      </w:r>
      <w:r>
        <w:t xml:space="preserve"> me zbatimin e masave</w:t>
      </w:r>
      <w:r w:rsidR="00F36B67">
        <w:t xml:space="preserve"> si institucione kryesore përgjegjëse</w:t>
      </w:r>
      <w:r w:rsidRPr="00C442E2">
        <w:t xml:space="preserve">, </w:t>
      </w:r>
      <w:r>
        <w:t>nga buxhete të</w:t>
      </w:r>
      <w:r w:rsidRPr="00C442E2">
        <w:t xml:space="preserve"> </w:t>
      </w:r>
      <w:r>
        <w:t>institucioneve të tjera që janë ngarkuar për zbatimin e</w:t>
      </w:r>
      <w:r w:rsidR="00901916">
        <w:t xml:space="preserve"> </w:t>
      </w:r>
      <w:r>
        <w:t>një pjesë të masave</w:t>
      </w:r>
      <w:r w:rsidR="00F36B67">
        <w:t xml:space="preserve"> si institucione mbështetëse, si dhe nga burime të tjera, përfshirë dhe donatorët</w:t>
      </w:r>
      <w:r>
        <w:t>.</w:t>
      </w:r>
    </w:p>
    <w:p w:rsidR="00B836F4" w:rsidRDefault="00B836F4" w:rsidP="00BF02E2">
      <w:pPr>
        <w:autoSpaceDE w:val="0"/>
        <w:autoSpaceDN w:val="0"/>
        <w:spacing w:line="276" w:lineRule="auto"/>
        <w:jc w:val="both"/>
      </w:pPr>
    </w:p>
    <w:p w:rsidR="00B836F4" w:rsidRPr="003A3E69" w:rsidRDefault="00B836F4" w:rsidP="00BF02E2">
      <w:pPr>
        <w:autoSpaceDE w:val="0"/>
        <w:autoSpaceDN w:val="0"/>
        <w:spacing w:line="276" w:lineRule="auto"/>
        <w:jc w:val="both"/>
        <w:rPr>
          <w:sz w:val="22"/>
          <w:lang w:val="en-US"/>
        </w:rPr>
      </w:pPr>
      <w:r w:rsidRPr="00C442E2">
        <w:t xml:space="preserve">Procesi i kostimit është </w:t>
      </w:r>
      <w:r>
        <w:t>mbësh</w:t>
      </w:r>
      <w:r w:rsidR="00B621A7">
        <w:t>t</w:t>
      </w:r>
      <w:r>
        <w:t>etur</w:t>
      </w:r>
      <w:r w:rsidRPr="00C442E2">
        <w:t xml:space="preserve"> në konsultimin e dokumentave kombëtar</w:t>
      </w:r>
      <w:r w:rsidR="00234374">
        <w:t>ë</w:t>
      </w:r>
      <w:r w:rsidRPr="00C442E2">
        <w:t xml:space="preserve">, përfshirë këtu Programi Buxhetor Afatmesëm 2021-2023, si dhe konsultimet me </w:t>
      </w:r>
      <w:r>
        <w:t xml:space="preserve">të gjitha </w:t>
      </w:r>
      <w:r w:rsidRPr="00C442E2">
        <w:t>institucionet e përfshira</w:t>
      </w:r>
      <w:r>
        <w:t xml:space="preserve">, </w:t>
      </w:r>
      <w:r w:rsidR="00F36B67">
        <w:t xml:space="preserve">duke mbajtur në konsideratë edhe </w:t>
      </w:r>
      <w:r>
        <w:t xml:space="preserve">kostot historike nga zbatimi i </w:t>
      </w:r>
      <w:r w:rsidR="00F36B67">
        <w:t>PKV së mëparshëm</w:t>
      </w:r>
      <w:r w:rsidRPr="00C442E2">
        <w:t xml:space="preserve">. </w:t>
      </w:r>
      <w:r w:rsidRPr="00C442E2">
        <w:rPr>
          <w:lang w:val="en-US"/>
        </w:rPr>
        <w:t>P</w:t>
      </w:r>
      <w:r w:rsidR="00B621A7">
        <w:rPr>
          <w:lang w:val="en-US"/>
        </w:rPr>
        <w:t>KV</w:t>
      </w:r>
      <w:r w:rsidR="00901916">
        <w:rPr>
          <w:lang w:val="en-US"/>
        </w:rPr>
        <w:t xml:space="preserve"> </w:t>
      </w:r>
      <w:r>
        <w:t>shoqërohet</w:t>
      </w:r>
      <w:r w:rsidRPr="00C442E2">
        <w:rPr>
          <w:lang w:val="en-US"/>
        </w:rPr>
        <w:t xml:space="preserve"> me një</w:t>
      </w:r>
      <w:r w:rsidR="00901916">
        <w:rPr>
          <w:lang w:val="en-US"/>
        </w:rPr>
        <w:t xml:space="preserve"> </w:t>
      </w:r>
      <w:r w:rsidRPr="00C442E2">
        <w:rPr>
          <w:lang w:val="en-US"/>
        </w:rPr>
        <w:t>kostim</w:t>
      </w:r>
      <w:r w:rsidR="00901916">
        <w:rPr>
          <w:lang w:val="en-US"/>
        </w:rPr>
        <w:t xml:space="preserve"> </w:t>
      </w:r>
      <w:r w:rsidRPr="00C442E2">
        <w:rPr>
          <w:lang w:val="en-US"/>
        </w:rPr>
        <w:t>analitik</w:t>
      </w:r>
      <w:r w:rsidR="00901916">
        <w:rPr>
          <w:lang w:val="en-US"/>
        </w:rPr>
        <w:t xml:space="preserve"> </w:t>
      </w:r>
      <w:r w:rsidRPr="00C442E2">
        <w:rPr>
          <w:lang w:val="en-US"/>
        </w:rPr>
        <w:t>të</w:t>
      </w:r>
      <w:r w:rsidR="00901916">
        <w:rPr>
          <w:lang w:val="en-US"/>
        </w:rPr>
        <w:t xml:space="preserve"> </w:t>
      </w:r>
      <w:r w:rsidRPr="00C442E2">
        <w:rPr>
          <w:lang w:val="en-US"/>
        </w:rPr>
        <w:t>secilës</w:t>
      </w:r>
      <w:r w:rsidR="00901916">
        <w:rPr>
          <w:lang w:val="en-US"/>
        </w:rPr>
        <w:t xml:space="preserve"> </w:t>
      </w:r>
      <w:r w:rsidR="00901916">
        <w:t xml:space="preserve">masë, i cili </w:t>
      </w:r>
      <w:r w:rsidR="00086A00">
        <w:t>ë</w:t>
      </w:r>
      <w:r w:rsidR="00901916">
        <w:t>sht</w:t>
      </w:r>
      <w:r w:rsidR="00086A00">
        <w:t>ë</w:t>
      </w:r>
      <w:r w:rsidR="00901916">
        <w:t xml:space="preserve"> mb</w:t>
      </w:r>
      <w:r w:rsidR="00086A00">
        <w:t>ë</w:t>
      </w:r>
      <w:r w:rsidR="00901916">
        <w:t>shtetur nga detajimi i holl</w:t>
      </w:r>
      <w:r w:rsidR="00086A00">
        <w:t>ë</w:t>
      </w:r>
      <w:r w:rsidR="00901916">
        <w:t>sish</w:t>
      </w:r>
      <w:r w:rsidR="00086A00">
        <w:t>ë</w:t>
      </w:r>
      <w:r w:rsidR="00901916">
        <w:t>m i çdo aktiviteti.</w:t>
      </w:r>
    </w:p>
    <w:p w:rsidR="00B621A7" w:rsidRDefault="00B621A7" w:rsidP="00BF02E2">
      <w:pPr>
        <w:spacing w:line="276" w:lineRule="auto"/>
        <w:jc w:val="both"/>
        <w:rPr>
          <w:lang w:val="en-US"/>
        </w:rPr>
      </w:pPr>
    </w:p>
    <w:p w:rsidR="00B836F4" w:rsidRDefault="00B836F4" w:rsidP="00BF02E2">
      <w:pPr>
        <w:spacing w:line="276" w:lineRule="auto"/>
        <w:jc w:val="both"/>
        <w:rPr>
          <w:color w:val="000000"/>
        </w:rPr>
      </w:pPr>
      <w:r w:rsidRPr="00927F44">
        <w:rPr>
          <w:highlight w:val="yellow"/>
          <w:lang w:val="en-US"/>
        </w:rPr>
        <w:t>Kostoja e përgjithshme e përllogaritur</w:t>
      </w:r>
      <w:r w:rsidR="00901916" w:rsidRPr="00927F44">
        <w:rPr>
          <w:highlight w:val="yellow"/>
          <w:lang w:val="en-US"/>
        </w:rPr>
        <w:t xml:space="preserve"> </w:t>
      </w:r>
      <w:r w:rsidRPr="00927F44">
        <w:rPr>
          <w:highlight w:val="yellow"/>
          <w:lang w:val="en-US"/>
        </w:rPr>
        <w:t>për</w:t>
      </w:r>
      <w:r w:rsidR="00901916" w:rsidRPr="00927F44">
        <w:rPr>
          <w:highlight w:val="yellow"/>
          <w:lang w:val="en-US"/>
        </w:rPr>
        <w:t xml:space="preserve"> </w:t>
      </w:r>
      <w:r w:rsidRPr="00927F44">
        <w:rPr>
          <w:highlight w:val="yellow"/>
          <w:lang w:val="en-US"/>
        </w:rPr>
        <w:t>zbatimin e</w:t>
      </w:r>
      <w:r w:rsidR="00953D79" w:rsidRPr="00927F44">
        <w:rPr>
          <w:highlight w:val="yellow"/>
          <w:lang w:val="en-US"/>
        </w:rPr>
        <w:t xml:space="preserve"> </w:t>
      </w:r>
      <w:r w:rsidR="00F36B67">
        <w:rPr>
          <w:highlight w:val="yellow"/>
          <w:lang w:val="en-US"/>
        </w:rPr>
        <w:t>“</w:t>
      </w:r>
      <w:r w:rsidR="00B621A7" w:rsidRPr="00927F44">
        <w:rPr>
          <w:highlight w:val="yellow"/>
          <w:lang w:val="en-US"/>
        </w:rPr>
        <w:t xml:space="preserve">PKV </w:t>
      </w:r>
      <w:r w:rsidR="00F36B67">
        <w:rPr>
          <w:highlight w:val="yellow"/>
          <w:lang w:val="en-US"/>
        </w:rPr>
        <w:t xml:space="preserve">LGBTI+ </w:t>
      </w:r>
      <w:r w:rsidR="00953D79" w:rsidRPr="00927F44">
        <w:rPr>
          <w:highlight w:val="yellow"/>
          <w:lang w:val="en-US"/>
        </w:rPr>
        <w:t xml:space="preserve">2021 </w:t>
      </w:r>
      <w:r w:rsidR="00F36B67">
        <w:rPr>
          <w:highlight w:val="yellow"/>
          <w:lang w:val="en-US"/>
        </w:rPr>
        <w:t>–</w:t>
      </w:r>
      <w:r w:rsidR="00953D79" w:rsidRPr="00927F44">
        <w:rPr>
          <w:highlight w:val="yellow"/>
          <w:lang w:val="en-US"/>
        </w:rPr>
        <w:t xml:space="preserve"> 20</w:t>
      </w:r>
      <w:r w:rsidR="00B621A7" w:rsidRPr="00927F44">
        <w:rPr>
          <w:highlight w:val="yellow"/>
          <w:lang w:val="en-US"/>
        </w:rPr>
        <w:t>27</w:t>
      </w:r>
      <w:r w:rsidR="00F36B67">
        <w:rPr>
          <w:highlight w:val="yellow"/>
          <w:lang w:val="en-US"/>
        </w:rPr>
        <w:t>”</w:t>
      </w:r>
      <w:r w:rsidR="00901916" w:rsidRPr="00927F44">
        <w:rPr>
          <w:highlight w:val="yellow"/>
          <w:lang w:val="en-US"/>
        </w:rPr>
        <w:t xml:space="preserve"> </w:t>
      </w:r>
      <w:r w:rsidRPr="00927F44">
        <w:rPr>
          <w:highlight w:val="yellow"/>
          <w:lang w:val="en-US"/>
        </w:rPr>
        <w:t>është</w:t>
      </w:r>
      <w:r w:rsidR="00901916" w:rsidRPr="00927F44">
        <w:rPr>
          <w:highlight w:val="yellow"/>
          <w:lang w:val="en-US"/>
        </w:rPr>
        <w:t xml:space="preserve"> </w:t>
      </w:r>
      <w:r w:rsidR="006645FB">
        <w:rPr>
          <w:b/>
          <w:color w:val="000000"/>
          <w:highlight w:val="yellow"/>
        </w:rPr>
        <w:t>357 244 455</w:t>
      </w:r>
      <w:r w:rsidR="00D339FE" w:rsidRPr="00927F44">
        <w:rPr>
          <w:b/>
          <w:color w:val="000000"/>
          <w:highlight w:val="yellow"/>
        </w:rPr>
        <w:t xml:space="preserve"> </w:t>
      </w:r>
      <w:r w:rsidRPr="00927F44">
        <w:rPr>
          <w:b/>
          <w:highlight w:val="yellow"/>
          <w:lang w:val="en-US"/>
        </w:rPr>
        <w:t>Lek</w:t>
      </w:r>
      <w:r w:rsidRPr="00927F44">
        <w:rPr>
          <w:b/>
          <w:highlight w:val="yellow"/>
        </w:rPr>
        <w:t>ë</w:t>
      </w:r>
      <w:r w:rsidRPr="00927F44">
        <w:rPr>
          <w:highlight w:val="yellow"/>
          <w:lang w:val="en-US"/>
        </w:rPr>
        <w:t>, ose</w:t>
      </w:r>
      <w:r w:rsidR="00263435">
        <w:rPr>
          <w:highlight w:val="yellow"/>
          <w:lang w:val="en-US"/>
        </w:rPr>
        <w:t xml:space="preserve"> 2881 004</w:t>
      </w:r>
      <w:r w:rsidR="00D339FE" w:rsidRPr="00927F44">
        <w:rPr>
          <w:b/>
          <w:color w:val="000000"/>
          <w:highlight w:val="yellow"/>
        </w:rPr>
        <w:t xml:space="preserve"> </w:t>
      </w:r>
      <w:r w:rsidRPr="00927F44">
        <w:rPr>
          <w:b/>
          <w:highlight w:val="yellow"/>
          <w:lang w:val="en-US"/>
        </w:rPr>
        <w:t>Euro</w:t>
      </w:r>
      <w:r w:rsidRPr="00927F44">
        <w:rPr>
          <w:highlight w:val="yellow"/>
          <w:lang w:val="en-US"/>
        </w:rPr>
        <w:t xml:space="preserve">. </w:t>
      </w:r>
      <w:r w:rsidRPr="00927F44">
        <w:rPr>
          <w:highlight w:val="yellow"/>
        </w:rPr>
        <w:t xml:space="preserve">Kursi mesatar për referencë është përllogaritur me </w:t>
      </w:r>
      <w:r w:rsidR="00982BFB">
        <w:rPr>
          <w:highlight w:val="yellow"/>
        </w:rPr>
        <w:t>1</w:t>
      </w:r>
      <w:r w:rsidR="00263435">
        <w:rPr>
          <w:highlight w:val="yellow"/>
        </w:rPr>
        <w:t>24</w:t>
      </w:r>
      <w:r w:rsidRPr="00927F44">
        <w:rPr>
          <w:highlight w:val="yellow"/>
        </w:rPr>
        <w:t xml:space="preserve"> lek për 1 euro.</w:t>
      </w:r>
      <w:r w:rsidR="00901916">
        <w:t xml:space="preserve"> </w:t>
      </w:r>
      <w:r>
        <w:rPr>
          <w:color w:val="000000"/>
        </w:rPr>
        <w:t xml:space="preserve">Tabela pasqyron kostot financiare, burimet e financimit dhe hendekun financiar përgjatë </w:t>
      </w:r>
      <w:r w:rsidR="009545FB">
        <w:rPr>
          <w:color w:val="000000"/>
        </w:rPr>
        <w:t>7</w:t>
      </w:r>
      <w:r>
        <w:rPr>
          <w:color w:val="000000"/>
        </w:rPr>
        <w:t xml:space="preserve"> viteve të zbatimit të </w:t>
      </w:r>
      <w:r w:rsidR="00F36B67">
        <w:rPr>
          <w:color w:val="000000"/>
        </w:rPr>
        <w:t>“</w:t>
      </w:r>
      <w:r w:rsidR="009545FB">
        <w:rPr>
          <w:color w:val="000000"/>
        </w:rPr>
        <w:t xml:space="preserve">PKV </w:t>
      </w:r>
      <w:r w:rsidR="00F36B67">
        <w:rPr>
          <w:color w:val="000000"/>
        </w:rPr>
        <w:t xml:space="preserve">LGBTI+ </w:t>
      </w:r>
      <w:r w:rsidR="00953D79">
        <w:rPr>
          <w:color w:val="000000"/>
        </w:rPr>
        <w:t xml:space="preserve">2021 </w:t>
      </w:r>
      <w:r w:rsidR="00F36B67">
        <w:rPr>
          <w:color w:val="000000"/>
        </w:rPr>
        <w:t>–</w:t>
      </w:r>
      <w:r w:rsidR="00953D79">
        <w:rPr>
          <w:color w:val="000000"/>
        </w:rPr>
        <w:t xml:space="preserve"> 20</w:t>
      </w:r>
      <w:r w:rsidR="009545FB">
        <w:rPr>
          <w:color w:val="000000"/>
        </w:rPr>
        <w:t>27</w:t>
      </w:r>
      <w:r w:rsidR="00F36B67">
        <w:rPr>
          <w:color w:val="000000"/>
        </w:rPr>
        <w:t>”</w:t>
      </w:r>
      <w:r>
        <w:rPr>
          <w:color w:val="000000"/>
        </w:rPr>
        <w:t>.</w:t>
      </w:r>
    </w:p>
    <w:tbl>
      <w:tblPr>
        <w:tblW w:w="10133" w:type="dxa"/>
        <w:tblInd w:w="93" w:type="dxa"/>
        <w:tblLook w:val="04A0"/>
      </w:tblPr>
      <w:tblGrid>
        <w:gridCol w:w="2519"/>
        <w:gridCol w:w="1066"/>
        <w:gridCol w:w="1830"/>
        <w:gridCol w:w="1513"/>
        <w:gridCol w:w="1446"/>
        <w:gridCol w:w="1759"/>
      </w:tblGrid>
      <w:tr w:rsidR="00677BAC" w:rsidRPr="00677BAC" w:rsidTr="00677BAC">
        <w:trPr>
          <w:trHeight w:val="476"/>
        </w:trPr>
        <w:tc>
          <w:tcPr>
            <w:tcW w:w="2519" w:type="dxa"/>
            <w:vMerge w:val="restart"/>
            <w:tcBorders>
              <w:top w:val="single" w:sz="8" w:space="0" w:color="auto"/>
              <w:left w:val="single" w:sz="8" w:space="0" w:color="auto"/>
              <w:bottom w:val="single" w:sz="8" w:space="0" w:color="4472C4"/>
              <w:right w:val="nil"/>
            </w:tcBorders>
            <w:shd w:val="clear" w:color="000000" w:fill="4472C4"/>
            <w:vAlign w:val="center"/>
            <w:hideMark/>
          </w:tcPr>
          <w:p w:rsidR="00677BAC" w:rsidRPr="00677BAC" w:rsidRDefault="00677BAC" w:rsidP="00677BAC">
            <w:pPr>
              <w:jc w:val="both"/>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Qëllimi i Politikave</w:t>
            </w:r>
          </w:p>
        </w:tc>
        <w:tc>
          <w:tcPr>
            <w:tcW w:w="1066" w:type="dxa"/>
            <w:vMerge w:val="restart"/>
            <w:tcBorders>
              <w:top w:val="single" w:sz="8" w:space="0" w:color="auto"/>
              <w:left w:val="nil"/>
              <w:bottom w:val="single" w:sz="8" w:space="0" w:color="4472C4"/>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Natyra/ Tipologjia e Kostove</w:t>
            </w:r>
          </w:p>
        </w:tc>
        <w:tc>
          <w:tcPr>
            <w:tcW w:w="1830" w:type="dxa"/>
            <w:tcBorders>
              <w:top w:val="single" w:sz="8" w:space="0" w:color="auto"/>
              <w:left w:val="nil"/>
              <w:bottom w:val="nil"/>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Kostoja Totale</w:t>
            </w:r>
          </w:p>
        </w:tc>
        <w:tc>
          <w:tcPr>
            <w:tcW w:w="1513" w:type="dxa"/>
            <w:tcBorders>
              <w:top w:val="single" w:sz="8" w:space="0" w:color="auto"/>
              <w:left w:val="nil"/>
              <w:bottom w:val="nil"/>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Kostot e Planifikuara</w:t>
            </w:r>
          </w:p>
        </w:tc>
        <w:tc>
          <w:tcPr>
            <w:tcW w:w="1446" w:type="dxa"/>
            <w:tcBorders>
              <w:top w:val="single" w:sz="8" w:space="0" w:color="auto"/>
              <w:left w:val="nil"/>
              <w:bottom w:val="nil"/>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 xml:space="preserve">Kosto për tu </w:t>
            </w:r>
          </w:p>
        </w:tc>
        <w:tc>
          <w:tcPr>
            <w:tcW w:w="1759" w:type="dxa"/>
            <w:tcBorders>
              <w:top w:val="single" w:sz="8" w:space="0" w:color="auto"/>
              <w:left w:val="nil"/>
              <w:bottom w:val="nil"/>
              <w:right w:val="single" w:sz="8" w:space="0" w:color="auto"/>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Hendeku Financiar</w:t>
            </w:r>
          </w:p>
        </w:tc>
      </w:tr>
      <w:tr w:rsidR="00677BAC" w:rsidRPr="00677BAC" w:rsidTr="00677BAC">
        <w:trPr>
          <w:trHeight w:val="286"/>
        </w:trPr>
        <w:tc>
          <w:tcPr>
            <w:tcW w:w="2519" w:type="dxa"/>
            <w:vMerge/>
            <w:tcBorders>
              <w:top w:val="single" w:sz="8" w:space="0" w:color="auto"/>
              <w:left w:val="single" w:sz="8" w:space="0" w:color="auto"/>
              <w:bottom w:val="single" w:sz="8" w:space="0" w:color="4472C4"/>
              <w:right w:val="nil"/>
            </w:tcBorders>
            <w:vAlign w:val="center"/>
            <w:hideMark/>
          </w:tcPr>
          <w:p w:rsidR="00677BAC" w:rsidRPr="00677BAC" w:rsidRDefault="00677BAC" w:rsidP="00677BAC">
            <w:pPr>
              <w:rPr>
                <w:rFonts w:ascii="Arial" w:eastAsia="Times New Roman" w:hAnsi="Arial" w:cs="Arial"/>
                <w:b/>
                <w:bCs/>
                <w:color w:val="FFFFFF"/>
                <w:sz w:val="18"/>
                <w:szCs w:val="18"/>
                <w:lang w:val="en-US" w:eastAsia="en-US"/>
              </w:rPr>
            </w:pPr>
          </w:p>
        </w:tc>
        <w:tc>
          <w:tcPr>
            <w:tcW w:w="1066" w:type="dxa"/>
            <w:vMerge/>
            <w:tcBorders>
              <w:top w:val="single" w:sz="8" w:space="0" w:color="auto"/>
              <w:left w:val="nil"/>
              <w:bottom w:val="single" w:sz="8" w:space="0" w:color="4472C4"/>
              <w:right w:val="nil"/>
            </w:tcBorders>
            <w:vAlign w:val="center"/>
            <w:hideMark/>
          </w:tcPr>
          <w:p w:rsidR="00677BAC" w:rsidRPr="00677BAC" w:rsidRDefault="00677BAC" w:rsidP="00677BAC">
            <w:pPr>
              <w:rPr>
                <w:rFonts w:ascii="Arial" w:eastAsia="Times New Roman" w:hAnsi="Arial" w:cs="Arial"/>
                <w:b/>
                <w:bCs/>
                <w:color w:val="FFFFFF"/>
                <w:sz w:val="18"/>
                <w:szCs w:val="18"/>
                <w:lang w:val="en-US" w:eastAsia="en-US"/>
              </w:rPr>
            </w:pPr>
          </w:p>
        </w:tc>
        <w:tc>
          <w:tcPr>
            <w:tcW w:w="1830" w:type="dxa"/>
            <w:tcBorders>
              <w:top w:val="nil"/>
              <w:left w:val="nil"/>
              <w:bottom w:val="nil"/>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2021-2027</w:t>
            </w:r>
          </w:p>
        </w:tc>
        <w:tc>
          <w:tcPr>
            <w:tcW w:w="1513" w:type="dxa"/>
            <w:tcBorders>
              <w:top w:val="nil"/>
              <w:left w:val="nil"/>
              <w:bottom w:val="nil"/>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PBA 2021-2023/</w:t>
            </w:r>
          </w:p>
        </w:tc>
        <w:tc>
          <w:tcPr>
            <w:tcW w:w="1446" w:type="dxa"/>
            <w:tcBorders>
              <w:top w:val="nil"/>
              <w:left w:val="nil"/>
              <w:bottom w:val="nil"/>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Planifikuar në</w:t>
            </w:r>
          </w:p>
        </w:tc>
        <w:tc>
          <w:tcPr>
            <w:tcW w:w="1759" w:type="dxa"/>
            <w:tcBorders>
              <w:top w:val="nil"/>
              <w:left w:val="nil"/>
              <w:bottom w:val="nil"/>
              <w:right w:val="single" w:sz="8" w:space="0" w:color="auto"/>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2021-2030</w:t>
            </w:r>
          </w:p>
        </w:tc>
      </w:tr>
      <w:tr w:rsidR="00677BAC" w:rsidRPr="00677BAC" w:rsidTr="00677BAC">
        <w:trPr>
          <w:trHeight w:val="547"/>
        </w:trPr>
        <w:tc>
          <w:tcPr>
            <w:tcW w:w="2519" w:type="dxa"/>
            <w:vMerge/>
            <w:tcBorders>
              <w:top w:val="single" w:sz="8" w:space="0" w:color="auto"/>
              <w:left w:val="single" w:sz="8" w:space="0" w:color="auto"/>
              <w:bottom w:val="single" w:sz="8" w:space="0" w:color="4472C4"/>
              <w:right w:val="nil"/>
            </w:tcBorders>
            <w:vAlign w:val="center"/>
            <w:hideMark/>
          </w:tcPr>
          <w:p w:rsidR="00677BAC" w:rsidRPr="00677BAC" w:rsidRDefault="00677BAC" w:rsidP="00677BAC">
            <w:pPr>
              <w:rPr>
                <w:rFonts w:ascii="Arial" w:eastAsia="Times New Roman" w:hAnsi="Arial" w:cs="Arial"/>
                <w:b/>
                <w:bCs/>
                <w:color w:val="FFFFFF"/>
                <w:sz w:val="18"/>
                <w:szCs w:val="18"/>
                <w:lang w:val="en-US" w:eastAsia="en-US"/>
              </w:rPr>
            </w:pPr>
          </w:p>
        </w:tc>
        <w:tc>
          <w:tcPr>
            <w:tcW w:w="1066" w:type="dxa"/>
            <w:vMerge/>
            <w:tcBorders>
              <w:top w:val="single" w:sz="8" w:space="0" w:color="auto"/>
              <w:left w:val="nil"/>
              <w:bottom w:val="single" w:sz="8" w:space="0" w:color="4472C4"/>
              <w:right w:val="nil"/>
            </w:tcBorders>
            <w:vAlign w:val="center"/>
            <w:hideMark/>
          </w:tcPr>
          <w:p w:rsidR="00677BAC" w:rsidRPr="00677BAC" w:rsidRDefault="00677BAC" w:rsidP="00677BAC">
            <w:pPr>
              <w:rPr>
                <w:rFonts w:ascii="Arial" w:eastAsia="Times New Roman" w:hAnsi="Arial" w:cs="Arial"/>
                <w:b/>
                <w:bCs/>
                <w:color w:val="FFFFFF"/>
                <w:sz w:val="18"/>
                <w:szCs w:val="18"/>
                <w:lang w:val="en-US" w:eastAsia="en-US"/>
              </w:rPr>
            </w:pPr>
          </w:p>
        </w:tc>
        <w:tc>
          <w:tcPr>
            <w:tcW w:w="1830" w:type="dxa"/>
            <w:tcBorders>
              <w:top w:val="nil"/>
              <w:left w:val="nil"/>
              <w:bottom w:val="single" w:sz="8" w:space="0" w:color="4472C4"/>
              <w:right w:val="nil"/>
            </w:tcBorders>
            <w:shd w:val="clear" w:color="000000" w:fill="4472C4"/>
            <w:vAlign w:val="center"/>
            <w:hideMark/>
          </w:tcPr>
          <w:p w:rsidR="00677BAC" w:rsidRPr="00677BAC" w:rsidRDefault="00677BAC" w:rsidP="00677BAC">
            <w:pPr>
              <w:rPr>
                <w:rFonts w:ascii="Calibri" w:eastAsia="Times New Roman" w:hAnsi="Calibri"/>
                <w:color w:val="000000"/>
                <w:sz w:val="22"/>
                <w:szCs w:val="22"/>
                <w:lang w:val="en-US" w:eastAsia="en-US"/>
              </w:rPr>
            </w:pPr>
            <w:r w:rsidRPr="00677BAC">
              <w:rPr>
                <w:rFonts w:ascii="Calibri" w:eastAsia="Times New Roman" w:hAnsi="Calibri"/>
                <w:color w:val="000000"/>
                <w:sz w:val="22"/>
                <w:szCs w:val="22"/>
                <w:lang w:val="en-US" w:eastAsia="en-US"/>
              </w:rPr>
              <w:t> </w:t>
            </w:r>
          </w:p>
        </w:tc>
        <w:tc>
          <w:tcPr>
            <w:tcW w:w="1513" w:type="dxa"/>
            <w:tcBorders>
              <w:top w:val="nil"/>
              <w:left w:val="nil"/>
              <w:bottom w:val="single" w:sz="8" w:space="0" w:color="4472C4"/>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Burime t</w:t>
            </w:r>
            <w:r w:rsidRPr="00677BAC">
              <w:rPr>
                <w:rFonts w:ascii="Calibri" w:eastAsia="Times New Roman" w:hAnsi="Calibri" w:cs="Arial"/>
                <w:b/>
                <w:bCs/>
                <w:color w:val="FFFFFF"/>
                <w:sz w:val="18"/>
                <w:szCs w:val="18"/>
                <w:lang w:val="en-US" w:eastAsia="en-US"/>
              </w:rPr>
              <w:t>ë</w:t>
            </w:r>
            <w:r w:rsidRPr="00677BAC">
              <w:rPr>
                <w:rFonts w:ascii="Arial" w:eastAsia="Times New Roman" w:hAnsi="Arial" w:cs="Arial"/>
                <w:b/>
                <w:bCs/>
                <w:color w:val="FFFFFF"/>
                <w:sz w:val="18"/>
                <w:szCs w:val="18"/>
                <w:lang w:val="en-US" w:eastAsia="en-US"/>
              </w:rPr>
              <w:t xml:space="preserve"> tjera dhe Donatoret</w:t>
            </w:r>
          </w:p>
        </w:tc>
        <w:tc>
          <w:tcPr>
            <w:tcW w:w="1446" w:type="dxa"/>
            <w:tcBorders>
              <w:top w:val="nil"/>
              <w:left w:val="nil"/>
              <w:bottom w:val="single" w:sz="8" w:space="0" w:color="4472C4"/>
              <w:right w:val="nil"/>
            </w:tcBorders>
            <w:shd w:val="clear" w:color="000000" w:fill="4472C4"/>
            <w:vAlign w:val="center"/>
            <w:hideMark/>
          </w:tcPr>
          <w:p w:rsidR="00677BAC" w:rsidRPr="00677BAC" w:rsidRDefault="00677BAC" w:rsidP="00677BAC">
            <w:pPr>
              <w:jc w:val="center"/>
              <w:rPr>
                <w:rFonts w:ascii="Arial" w:eastAsia="Times New Roman" w:hAnsi="Arial" w:cs="Arial"/>
                <w:b/>
                <w:bCs/>
                <w:color w:val="FFFFFF"/>
                <w:sz w:val="18"/>
                <w:szCs w:val="18"/>
                <w:lang w:val="en-US" w:eastAsia="en-US"/>
              </w:rPr>
            </w:pPr>
            <w:r w:rsidRPr="00677BAC">
              <w:rPr>
                <w:rFonts w:ascii="Arial" w:eastAsia="Times New Roman" w:hAnsi="Arial" w:cs="Arial"/>
                <w:b/>
                <w:bCs/>
                <w:color w:val="FFFFFF"/>
                <w:sz w:val="18"/>
                <w:szCs w:val="18"/>
                <w:lang w:val="en-US" w:eastAsia="en-US"/>
              </w:rPr>
              <w:t xml:space="preserve"> Buxhetin 2024-2027</w:t>
            </w:r>
          </w:p>
        </w:tc>
        <w:tc>
          <w:tcPr>
            <w:tcW w:w="1759" w:type="dxa"/>
            <w:tcBorders>
              <w:top w:val="nil"/>
              <w:left w:val="nil"/>
              <w:bottom w:val="single" w:sz="8" w:space="0" w:color="4472C4"/>
              <w:right w:val="single" w:sz="8" w:space="0" w:color="auto"/>
            </w:tcBorders>
            <w:shd w:val="clear" w:color="000000" w:fill="4472C4"/>
            <w:vAlign w:val="center"/>
            <w:hideMark/>
          </w:tcPr>
          <w:p w:rsidR="00677BAC" w:rsidRPr="00677BAC" w:rsidRDefault="00677BAC" w:rsidP="00677BAC">
            <w:pPr>
              <w:rPr>
                <w:rFonts w:ascii="Calibri" w:eastAsia="Times New Roman" w:hAnsi="Calibri"/>
                <w:color w:val="000000"/>
                <w:sz w:val="22"/>
                <w:szCs w:val="22"/>
                <w:lang w:val="en-US" w:eastAsia="en-US"/>
              </w:rPr>
            </w:pPr>
            <w:r w:rsidRPr="00677BAC">
              <w:rPr>
                <w:rFonts w:ascii="Calibri" w:eastAsia="Times New Roman" w:hAnsi="Calibri"/>
                <w:color w:val="000000"/>
                <w:sz w:val="22"/>
                <w:szCs w:val="22"/>
                <w:lang w:val="en-US" w:eastAsia="en-US"/>
              </w:rPr>
              <w:t> </w:t>
            </w:r>
          </w:p>
        </w:tc>
      </w:tr>
      <w:tr w:rsidR="00677BAC" w:rsidRPr="00677BAC" w:rsidTr="00677BAC">
        <w:trPr>
          <w:trHeight w:val="357"/>
        </w:trPr>
        <w:tc>
          <w:tcPr>
            <w:tcW w:w="2519" w:type="dxa"/>
            <w:vMerge w:val="restart"/>
            <w:tcBorders>
              <w:top w:val="nil"/>
              <w:left w:val="single" w:sz="8" w:space="0" w:color="auto"/>
              <w:bottom w:val="single" w:sz="8" w:space="0" w:color="8EAADB"/>
              <w:right w:val="single" w:sz="8" w:space="0" w:color="8EAADB"/>
            </w:tcBorders>
            <w:shd w:val="clear" w:color="000000" w:fill="D9E2F3"/>
            <w:vAlign w:val="center"/>
            <w:hideMark/>
          </w:tcPr>
          <w:p w:rsidR="00677BAC" w:rsidRPr="00677BAC" w:rsidRDefault="00677BAC" w:rsidP="00677BAC">
            <w:pPr>
              <w:rPr>
                <w:rFonts w:eastAsia="Times New Roman"/>
                <w:color w:val="000000"/>
                <w:sz w:val="22"/>
                <w:szCs w:val="22"/>
                <w:lang w:val="en-US" w:eastAsia="en-US"/>
              </w:rPr>
            </w:pPr>
            <w:r w:rsidRPr="00677BAC">
              <w:rPr>
                <w:rFonts w:eastAsia="Times New Roman"/>
                <w:color w:val="000000"/>
                <w:sz w:val="22"/>
                <w:szCs w:val="22"/>
                <w:lang w:val="en-US" w:eastAsia="en-US"/>
              </w:rPr>
              <w:t xml:space="preserve">PI:  Përmirësimi i aksesit të personave LGBTI+ në shërbime publike dhe shërbime mbështetëse të specializuara efektive, cilësore dhe të disponueshme në mbarë vendin, në përputhje me nevojat specfike të tyre dhe me standarde kombëtare të harmonizuara me ato evropiane/ndërkombëtare. </w:t>
            </w:r>
          </w:p>
        </w:tc>
        <w:tc>
          <w:tcPr>
            <w:tcW w:w="1066"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Korente</w:t>
            </w:r>
          </w:p>
        </w:tc>
        <w:tc>
          <w:tcPr>
            <w:tcW w:w="1830"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252,535,577</w:t>
            </w:r>
          </w:p>
        </w:tc>
        <w:tc>
          <w:tcPr>
            <w:tcW w:w="1513"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93,440,616</w:t>
            </w:r>
          </w:p>
        </w:tc>
        <w:tc>
          <w:tcPr>
            <w:tcW w:w="1446" w:type="dxa"/>
            <w:tcBorders>
              <w:top w:val="nil"/>
              <w:left w:val="nil"/>
              <w:bottom w:val="nil"/>
              <w:right w:val="nil"/>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117,959,386</w:t>
            </w:r>
          </w:p>
        </w:tc>
        <w:tc>
          <w:tcPr>
            <w:tcW w:w="1759" w:type="dxa"/>
            <w:vMerge w:val="restart"/>
            <w:tcBorders>
              <w:top w:val="nil"/>
              <w:left w:val="single" w:sz="8" w:space="0" w:color="8EAADB"/>
              <w:bottom w:val="single" w:sz="8" w:space="0" w:color="8EAADB"/>
              <w:right w:val="single" w:sz="8" w:space="0" w:color="auto"/>
            </w:tcBorders>
            <w:shd w:val="clear" w:color="000000" w:fill="D9E2F3"/>
            <w:vAlign w:val="center"/>
            <w:hideMark/>
          </w:tcPr>
          <w:p w:rsidR="00677BAC" w:rsidRPr="00677BAC" w:rsidRDefault="00677BAC" w:rsidP="00677BAC">
            <w:pPr>
              <w:jc w:val="center"/>
              <w:rPr>
                <w:rFonts w:ascii="Arial" w:eastAsia="Times New Roman" w:hAnsi="Arial" w:cs="Arial"/>
                <w:b/>
                <w:bCs/>
                <w:i/>
                <w:iCs/>
                <w:color w:val="000000"/>
                <w:sz w:val="18"/>
                <w:szCs w:val="18"/>
                <w:lang w:val="en-US" w:eastAsia="en-US"/>
              </w:rPr>
            </w:pPr>
            <w:r w:rsidRPr="00677BAC">
              <w:rPr>
                <w:rFonts w:ascii="Arial" w:eastAsia="Times New Roman" w:hAnsi="Arial" w:cs="Arial"/>
                <w:b/>
                <w:bCs/>
                <w:i/>
                <w:iCs/>
                <w:color w:val="000000"/>
                <w:sz w:val="18"/>
                <w:szCs w:val="18"/>
                <w:lang w:val="en-US" w:eastAsia="en-US"/>
              </w:rPr>
              <w:t>41,135,575</w:t>
            </w:r>
          </w:p>
        </w:tc>
      </w:tr>
      <w:tr w:rsidR="00677BAC" w:rsidRPr="00677BAC" w:rsidTr="00677BAC">
        <w:trPr>
          <w:trHeight w:val="2618"/>
        </w:trPr>
        <w:tc>
          <w:tcPr>
            <w:tcW w:w="2519" w:type="dxa"/>
            <w:vMerge/>
            <w:tcBorders>
              <w:top w:val="nil"/>
              <w:left w:val="single" w:sz="8" w:space="0" w:color="auto"/>
              <w:bottom w:val="single" w:sz="8" w:space="0" w:color="8EAADB"/>
              <w:right w:val="single" w:sz="8" w:space="0" w:color="8EAADB"/>
            </w:tcBorders>
            <w:vAlign w:val="center"/>
            <w:hideMark/>
          </w:tcPr>
          <w:p w:rsidR="00677BAC" w:rsidRPr="00677BAC" w:rsidRDefault="00677BAC" w:rsidP="00677BAC">
            <w:pPr>
              <w:rPr>
                <w:rFonts w:eastAsia="Times New Roman"/>
                <w:color w:val="000000"/>
                <w:sz w:val="22"/>
                <w:szCs w:val="22"/>
                <w:lang w:val="en-US" w:eastAsia="en-US"/>
              </w:rPr>
            </w:pPr>
          </w:p>
        </w:tc>
        <w:tc>
          <w:tcPr>
            <w:tcW w:w="1066"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Kapitale</w:t>
            </w:r>
          </w:p>
        </w:tc>
        <w:tc>
          <w:tcPr>
            <w:tcW w:w="1830"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14,145,000</w:t>
            </w:r>
          </w:p>
        </w:tc>
        <w:tc>
          <w:tcPr>
            <w:tcW w:w="1513" w:type="dxa"/>
            <w:tcBorders>
              <w:top w:val="nil"/>
              <w:left w:val="nil"/>
              <w:bottom w:val="single" w:sz="8" w:space="0" w:color="8EAADB"/>
              <w:right w:val="nil"/>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3,105,000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11,040,000</w:t>
            </w:r>
          </w:p>
        </w:tc>
        <w:tc>
          <w:tcPr>
            <w:tcW w:w="1759" w:type="dxa"/>
            <w:vMerge/>
            <w:tcBorders>
              <w:top w:val="nil"/>
              <w:left w:val="single" w:sz="8" w:space="0" w:color="8EAADB"/>
              <w:bottom w:val="single" w:sz="8" w:space="0" w:color="8EAADB"/>
              <w:right w:val="single" w:sz="8" w:space="0" w:color="auto"/>
            </w:tcBorders>
            <w:vAlign w:val="center"/>
            <w:hideMark/>
          </w:tcPr>
          <w:p w:rsidR="00677BAC" w:rsidRPr="00677BAC" w:rsidRDefault="00677BAC" w:rsidP="00677BAC">
            <w:pPr>
              <w:rPr>
                <w:rFonts w:ascii="Arial" w:eastAsia="Times New Roman" w:hAnsi="Arial" w:cs="Arial"/>
                <w:b/>
                <w:bCs/>
                <w:i/>
                <w:iCs/>
                <w:color w:val="000000"/>
                <w:sz w:val="18"/>
                <w:szCs w:val="18"/>
                <w:lang w:val="en-US" w:eastAsia="en-US"/>
              </w:rPr>
            </w:pPr>
          </w:p>
        </w:tc>
      </w:tr>
      <w:tr w:rsidR="00677BAC" w:rsidRPr="00677BAC" w:rsidTr="00677BAC">
        <w:trPr>
          <w:trHeight w:val="297"/>
        </w:trPr>
        <w:tc>
          <w:tcPr>
            <w:tcW w:w="2519" w:type="dxa"/>
            <w:vMerge w:val="restart"/>
            <w:tcBorders>
              <w:top w:val="single" w:sz="8" w:space="0" w:color="4472C4"/>
              <w:left w:val="single" w:sz="8" w:space="0" w:color="auto"/>
              <w:bottom w:val="single" w:sz="8" w:space="0" w:color="8EAADB"/>
              <w:right w:val="single" w:sz="8" w:space="0" w:color="8EAADB"/>
            </w:tcBorders>
            <w:shd w:val="clear" w:color="000000" w:fill="D9E2F3"/>
            <w:vAlign w:val="center"/>
            <w:hideMark/>
          </w:tcPr>
          <w:p w:rsidR="00677BAC" w:rsidRPr="00677BAC" w:rsidRDefault="00677BAC" w:rsidP="00677BAC">
            <w:pPr>
              <w:rPr>
                <w:rFonts w:eastAsia="Times New Roman"/>
                <w:color w:val="000000"/>
                <w:sz w:val="22"/>
                <w:szCs w:val="22"/>
                <w:lang w:val="en-US" w:eastAsia="en-US"/>
              </w:rPr>
            </w:pPr>
            <w:r w:rsidRPr="00677BAC">
              <w:rPr>
                <w:rFonts w:eastAsia="Times New Roman"/>
                <w:color w:val="000000"/>
                <w:sz w:val="22"/>
                <w:szCs w:val="22"/>
                <w:lang w:val="en-US" w:eastAsia="en-US"/>
              </w:rPr>
              <w:t xml:space="preserve">P II: Garantimi i </w:t>
            </w:r>
            <w:r w:rsidRPr="00677BAC">
              <w:rPr>
                <w:rFonts w:eastAsia="Times New Roman"/>
                <w:color w:val="000000"/>
                <w:sz w:val="22"/>
                <w:szCs w:val="22"/>
                <w:lang w:val="en-US" w:eastAsia="en-US"/>
              </w:rPr>
              <w:lastRenderedPageBreak/>
              <w:t xml:space="preserve">mbrojtjes dhe sigurisë për personat LGBTI+ përmes përmirësimit të kuadrit ligjor, zbatimit efektiv të tij, si dhe rritjes së aksesit të personave LGBTI+ në sistemin e drejtësisë </w:t>
            </w:r>
          </w:p>
        </w:tc>
        <w:tc>
          <w:tcPr>
            <w:tcW w:w="1066"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lastRenderedPageBreak/>
              <w:t>Korente</w:t>
            </w:r>
          </w:p>
        </w:tc>
        <w:tc>
          <w:tcPr>
            <w:tcW w:w="1830"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43,367,309</w:t>
            </w:r>
          </w:p>
        </w:tc>
        <w:tc>
          <w:tcPr>
            <w:tcW w:w="1513"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9,246,192</w:t>
            </w:r>
          </w:p>
        </w:tc>
        <w:tc>
          <w:tcPr>
            <w:tcW w:w="1446" w:type="dxa"/>
            <w:tcBorders>
              <w:top w:val="nil"/>
              <w:left w:val="nil"/>
              <w:bottom w:val="nil"/>
              <w:right w:val="nil"/>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18,920,512</w:t>
            </w:r>
          </w:p>
        </w:tc>
        <w:tc>
          <w:tcPr>
            <w:tcW w:w="1759"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rsidR="00677BAC" w:rsidRPr="00677BAC" w:rsidRDefault="00677BAC" w:rsidP="00677BAC">
            <w:pPr>
              <w:jc w:val="center"/>
              <w:rPr>
                <w:rFonts w:ascii="Arial" w:eastAsia="Times New Roman" w:hAnsi="Arial" w:cs="Arial"/>
                <w:b/>
                <w:bCs/>
                <w:i/>
                <w:iCs/>
                <w:color w:val="000000"/>
                <w:sz w:val="18"/>
                <w:szCs w:val="18"/>
                <w:lang w:val="en-US" w:eastAsia="en-US"/>
              </w:rPr>
            </w:pPr>
            <w:r w:rsidRPr="00677BAC">
              <w:rPr>
                <w:rFonts w:ascii="Arial" w:eastAsia="Times New Roman" w:hAnsi="Arial" w:cs="Arial"/>
                <w:b/>
                <w:bCs/>
                <w:i/>
                <w:iCs/>
                <w:color w:val="000000"/>
                <w:sz w:val="18"/>
                <w:szCs w:val="18"/>
                <w:lang w:val="en-US" w:eastAsia="en-US"/>
              </w:rPr>
              <w:t>15,200,606</w:t>
            </w:r>
          </w:p>
        </w:tc>
      </w:tr>
      <w:tr w:rsidR="00677BAC" w:rsidRPr="00677BAC" w:rsidTr="00677BAC">
        <w:trPr>
          <w:trHeight w:val="2067"/>
        </w:trPr>
        <w:tc>
          <w:tcPr>
            <w:tcW w:w="2519" w:type="dxa"/>
            <w:vMerge/>
            <w:tcBorders>
              <w:top w:val="single" w:sz="8" w:space="0" w:color="4472C4"/>
              <w:left w:val="single" w:sz="8" w:space="0" w:color="auto"/>
              <w:bottom w:val="single" w:sz="8" w:space="0" w:color="8EAADB"/>
              <w:right w:val="single" w:sz="8" w:space="0" w:color="8EAADB"/>
            </w:tcBorders>
            <w:vAlign w:val="center"/>
            <w:hideMark/>
          </w:tcPr>
          <w:p w:rsidR="00677BAC" w:rsidRPr="00677BAC" w:rsidRDefault="00677BAC" w:rsidP="00677BAC">
            <w:pPr>
              <w:rPr>
                <w:rFonts w:eastAsia="Times New Roman"/>
                <w:color w:val="000000"/>
                <w:sz w:val="22"/>
                <w:szCs w:val="22"/>
                <w:lang w:val="en-US" w:eastAsia="en-US"/>
              </w:rPr>
            </w:pPr>
          </w:p>
        </w:tc>
        <w:tc>
          <w:tcPr>
            <w:tcW w:w="1066"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Kapitale</w:t>
            </w:r>
          </w:p>
        </w:tc>
        <w:tc>
          <w:tcPr>
            <w:tcW w:w="1830"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34,500</w:t>
            </w:r>
          </w:p>
        </w:tc>
        <w:tc>
          <w:tcPr>
            <w:tcW w:w="1513"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0</w:t>
            </w:r>
          </w:p>
        </w:tc>
        <w:tc>
          <w:tcPr>
            <w:tcW w:w="1446" w:type="dxa"/>
            <w:tcBorders>
              <w:top w:val="nil"/>
              <w:left w:val="nil"/>
              <w:bottom w:val="single" w:sz="8" w:space="0" w:color="8EAADB"/>
              <w:right w:val="nil"/>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34,500</w:t>
            </w:r>
          </w:p>
        </w:tc>
        <w:tc>
          <w:tcPr>
            <w:tcW w:w="1759" w:type="dxa"/>
            <w:vMerge/>
            <w:tcBorders>
              <w:top w:val="single" w:sz="8" w:space="0" w:color="4472C4"/>
              <w:left w:val="single" w:sz="8" w:space="0" w:color="8EAADB"/>
              <w:bottom w:val="single" w:sz="8" w:space="0" w:color="8EAADB"/>
              <w:right w:val="single" w:sz="8" w:space="0" w:color="auto"/>
            </w:tcBorders>
            <w:vAlign w:val="center"/>
            <w:hideMark/>
          </w:tcPr>
          <w:p w:rsidR="00677BAC" w:rsidRPr="00677BAC" w:rsidRDefault="00677BAC" w:rsidP="00677BAC">
            <w:pPr>
              <w:rPr>
                <w:rFonts w:ascii="Arial" w:eastAsia="Times New Roman" w:hAnsi="Arial" w:cs="Arial"/>
                <w:b/>
                <w:bCs/>
                <w:i/>
                <w:iCs/>
                <w:color w:val="000000"/>
                <w:sz w:val="18"/>
                <w:szCs w:val="18"/>
                <w:lang w:val="en-US" w:eastAsia="en-US"/>
              </w:rPr>
            </w:pPr>
          </w:p>
        </w:tc>
      </w:tr>
      <w:tr w:rsidR="00677BAC" w:rsidRPr="00677BAC" w:rsidTr="00677BAC">
        <w:trPr>
          <w:trHeight w:val="297"/>
        </w:trPr>
        <w:tc>
          <w:tcPr>
            <w:tcW w:w="2519" w:type="dxa"/>
            <w:vMerge w:val="restart"/>
            <w:tcBorders>
              <w:top w:val="nil"/>
              <w:left w:val="single" w:sz="8" w:space="0" w:color="auto"/>
              <w:bottom w:val="single" w:sz="8" w:space="0" w:color="8EAADB"/>
              <w:right w:val="single" w:sz="8" w:space="0" w:color="8EAADB"/>
            </w:tcBorders>
            <w:shd w:val="clear" w:color="000000" w:fill="D9E2F3"/>
            <w:vAlign w:val="center"/>
            <w:hideMark/>
          </w:tcPr>
          <w:p w:rsidR="00677BAC" w:rsidRPr="00677BAC" w:rsidRDefault="00677BAC" w:rsidP="00677BAC">
            <w:pPr>
              <w:rPr>
                <w:rFonts w:ascii="Arial" w:eastAsia="Times New Roman" w:hAnsi="Arial" w:cs="Arial"/>
                <w:color w:val="000000"/>
                <w:sz w:val="16"/>
                <w:szCs w:val="16"/>
                <w:lang w:val="en-US" w:eastAsia="en-US"/>
              </w:rPr>
            </w:pPr>
            <w:r w:rsidRPr="00677BAC">
              <w:rPr>
                <w:rFonts w:ascii="Arial" w:eastAsia="Times New Roman" w:hAnsi="Arial" w:cs="Arial"/>
                <w:color w:val="000000"/>
                <w:sz w:val="16"/>
                <w:szCs w:val="16"/>
                <w:lang w:val="en-US" w:eastAsia="en-US"/>
              </w:rPr>
              <w:lastRenderedPageBreak/>
              <w:t>P III: Krijimi i një shoqërie gjithëpërfshirëse, pranuese dhe jo-diskriminuese kundrejt personave LGBTI+ në Shqipëri</w:t>
            </w:r>
          </w:p>
        </w:tc>
        <w:tc>
          <w:tcPr>
            <w:tcW w:w="1066"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Korente</w:t>
            </w:r>
          </w:p>
        </w:tc>
        <w:tc>
          <w:tcPr>
            <w:tcW w:w="1830"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47,162,069</w:t>
            </w:r>
          </w:p>
        </w:tc>
        <w:tc>
          <w:tcPr>
            <w:tcW w:w="1513"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15,316,440</w:t>
            </w:r>
          </w:p>
        </w:tc>
        <w:tc>
          <w:tcPr>
            <w:tcW w:w="1446" w:type="dxa"/>
            <w:tcBorders>
              <w:top w:val="nil"/>
              <w:left w:val="nil"/>
              <w:bottom w:val="nil"/>
              <w:right w:val="nil"/>
            </w:tcBorders>
            <w:shd w:val="clear" w:color="000000" w:fill="D9E2F3"/>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16,081,017</w:t>
            </w:r>
          </w:p>
        </w:tc>
        <w:tc>
          <w:tcPr>
            <w:tcW w:w="1759"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rsidR="00677BAC" w:rsidRPr="00677BAC" w:rsidRDefault="00677BAC" w:rsidP="00677BAC">
            <w:pPr>
              <w:jc w:val="center"/>
              <w:rPr>
                <w:rFonts w:ascii="Arial" w:eastAsia="Times New Roman" w:hAnsi="Arial" w:cs="Arial"/>
                <w:b/>
                <w:bCs/>
                <w:i/>
                <w:iCs/>
                <w:color w:val="000000"/>
                <w:sz w:val="18"/>
                <w:szCs w:val="18"/>
                <w:lang w:val="en-US" w:eastAsia="en-US"/>
              </w:rPr>
            </w:pPr>
            <w:r w:rsidRPr="00677BAC">
              <w:rPr>
                <w:rFonts w:ascii="Arial" w:eastAsia="Times New Roman" w:hAnsi="Arial" w:cs="Arial"/>
                <w:b/>
                <w:bCs/>
                <w:i/>
                <w:iCs/>
                <w:color w:val="000000"/>
                <w:sz w:val="18"/>
                <w:szCs w:val="18"/>
                <w:lang w:val="en-US" w:eastAsia="en-US"/>
              </w:rPr>
              <w:t>15,764,612</w:t>
            </w:r>
          </w:p>
        </w:tc>
      </w:tr>
      <w:tr w:rsidR="00677BAC" w:rsidRPr="00677BAC" w:rsidTr="00677BAC">
        <w:trPr>
          <w:trHeight w:val="654"/>
        </w:trPr>
        <w:tc>
          <w:tcPr>
            <w:tcW w:w="2519" w:type="dxa"/>
            <w:vMerge/>
            <w:tcBorders>
              <w:top w:val="nil"/>
              <w:left w:val="single" w:sz="8" w:space="0" w:color="auto"/>
              <w:bottom w:val="single" w:sz="8" w:space="0" w:color="8EAADB"/>
              <w:right w:val="single" w:sz="8" w:space="0" w:color="8EAADB"/>
            </w:tcBorders>
            <w:vAlign w:val="center"/>
            <w:hideMark/>
          </w:tcPr>
          <w:p w:rsidR="00677BAC" w:rsidRPr="00677BAC" w:rsidRDefault="00677BAC" w:rsidP="00677BAC">
            <w:pPr>
              <w:rPr>
                <w:rFonts w:ascii="Arial" w:eastAsia="Times New Roman" w:hAnsi="Arial" w:cs="Arial"/>
                <w:color w:val="000000"/>
                <w:sz w:val="16"/>
                <w:szCs w:val="16"/>
                <w:lang w:val="en-US" w:eastAsia="en-US"/>
              </w:rPr>
            </w:pPr>
          </w:p>
        </w:tc>
        <w:tc>
          <w:tcPr>
            <w:tcW w:w="1066"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Kapitale</w:t>
            </w:r>
          </w:p>
        </w:tc>
        <w:tc>
          <w:tcPr>
            <w:tcW w:w="1830"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0</w:t>
            </w:r>
          </w:p>
        </w:tc>
        <w:tc>
          <w:tcPr>
            <w:tcW w:w="1513" w:type="dxa"/>
            <w:tcBorders>
              <w:top w:val="nil"/>
              <w:left w:val="nil"/>
              <w:bottom w:val="single" w:sz="8" w:space="0" w:color="8EAADB"/>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0</w:t>
            </w:r>
          </w:p>
        </w:tc>
        <w:tc>
          <w:tcPr>
            <w:tcW w:w="1446" w:type="dxa"/>
            <w:tcBorders>
              <w:top w:val="nil"/>
              <w:left w:val="nil"/>
              <w:bottom w:val="single" w:sz="8" w:space="0" w:color="8EAADB"/>
              <w:right w:val="nil"/>
            </w:tcBorders>
            <w:shd w:val="clear" w:color="auto" w:fill="auto"/>
            <w:vAlign w:val="center"/>
            <w:hideMark/>
          </w:tcPr>
          <w:p w:rsidR="00677BAC" w:rsidRPr="00677BAC" w:rsidRDefault="00677BAC" w:rsidP="00677BAC">
            <w:pPr>
              <w:jc w:val="center"/>
              <w:rPr>
                <w:rFonts w:ascii="Arial" w:eastAsia="Times New Roman" w:hAnsi="Arial" w:cs="Arial"/>
                <w:color w:val="000000"/>
                <w:sz w:val="18"/>
                <w:szCs w:val="18"/>
                <w:lang w:val="en-US" w:eastAsia="en-US"/>
              </w:rPr>
            </w:pPr>
            <w:r w:rsidRPr="00677BAC">
              <w:rPr>
                <w:rFonts w:ascii="Arial" w:eastAsia="Times New Roman" w:hAnsi="Arial" w:cs="Arial"/>
                <w:color w:val="000000"/>
                <w:sz w:val="18"/>
                <w:szCs w:val="18"/>
                <w:lang w:val="en-US" w:eastAsia="en-US"/>
              </w:rPr>
              <w:t>0</w:t>
            </w:r>
          </w:p>
        </w:tc>
        <w:tc>
          <w:tcPr>
            <w:tcW w:w="1759" w:type="dxa"/>
            <w:vMerge/>
            <w:tcBorders>
              <w:top w:val="single" w:sz="8" w:space="0" w:color="4472C4"/>
              <w:left w:val="single" w:sz="8" w:space="0" w:color="8EAADB"/>
              <w:bottom w:val="single" w:sz="8" w:space="0" w:color="8EAADB"/>
              <w:right w:val="single" w:sz="8" w:space="0" w:color="auto"/>
            </w:tcBorders>
            <w:vAlign w:val="center"/>
            <w:hideMark/>
          </w:tcPr>
          <w:p w:rsidR="00677BAC" w:rsidRPr="00677BAC" w:rsidRDefault="00677BAC" w:rsidP="00677BAC">
            <w:pPr>
              <w:rPr>
                <w:rFonts w:ascii="Arial" w:eastAsia="Times New Roman" w:hAnsi="Arial" w:cs="Arial"/>
                <w:b/>
                <w:bCs/>
                <w:i/>
                <w:iCs/>
                <w:color w:val="000000"/>
                <w:sz w:val="18"/>
                <w:szCs w:val="18"/>
                <w:lang w:val="en-US" w:eastAsia="en-US"/>
              </w:rPr>
            </w:pPr>
          </w:p>
        </w:tc>
      </w:tr>
      <w:tr w:rsidR="00677BAC" w:rsidRPr="00677BAC" w:rsidTr="00677BAC">
        <w:trPr>
          <w:trHeight w:val="297"/>
        </w:trPr>
        <w:tc>
          <w:tcPr>
            <w:tcW w:w="2519" w:type="dxa"/>
            <w:tcBorders>
              <w:top w:val="nil"/>
              <w:left w:val="single" w:sz="8" w:space="0" w:color="auto"/>
              <w:bottom w:val="single" w:sz="8" w:space="0" w:color="8EAADB"/>
              <w:right w:val="single" w:sz="8" w:space="0" w:color="8EAADB"/>
            </w:tcBorders>
            <w:shd w:val="clear" w:color="000000" w:fill="D9E2F3"/>
            <w:vAlign w:val="center"/>
            <w:hideMark/>
          </w:tcPr>
          <w:p w:rsidR="00677BAC" w:rsidRPr="00677BAC" w:rsidRDefault="00677BAC" w:rsidP="00677BAC">
            <w:pPr>
              <w:jc w:val="right"/>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TOTALI [Leke]</w:t>
            </w:r>
          </w:p>
        </w:tc>
        <w:tc>
          <w:tcPr>
            <w:tcW w:w="1066"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 </w:t>
            </w:r>
          </w:p>
        </w:tc>
        <w:tc>
          <w:tcPr>
            <w:tcW w:w="1830"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357,244,455</w:t>
            </w:r>
          </w:p>
        </w:tc>
        <w:tc>
          <w:tcPr>
            <w:tcW w:w="1513"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121,108,248</w:t>
            </w:r>
          </w:p>
        </w:tc>
        <w:tc>
          <w:tcPr>
            <w:tcW w:w="1446" w:type="dxa"/>
            <w:tcBorders>
              <w:top w:val="nil"/>
              <w:left w:val="nil"/>
              <w:bottom w:val="single" w:sz="8" w:space="0" w:color="8EAADB"/>
              <w:right w:val="single" w:sz="8" w:space="0" w:color="8EAADB"/>
            </w:tcBorders>
            <w:shd w:val="clear" w:color="000000" w:fill="D9E2F3"/>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164,035,415</w:t>
            </w:r>
          </w:p>
        </w:tc>
        <w:tc>
          <w:tcPr>
            <w:tcW w:w="1759" w:type="dxa"/>
            <w:tcBorders>
              <w:top w:val="nil"/>
              <w:left w:val="nil"/>
              <w:bottom w:val="single" w:sz="8" w:space="0" w:color="8EAADB"/>
              <w:right w:val="single" w:sz="8" w:space="0" w:color="auto"/>
            </w:tcBorders>
            <w:shd w:val="clear" w:color="000000" w:fill="D9E2F3"/>
            <w:vAlign w:val="center"/>
            <w:hideMark/>
          </w:tcPr>
          <w:p w:rsidR="00677BAC" w:rsidRPr="00677BAC" w:rsidRDefault="00677BAC" w:rsidP="00677BAC">
            <w:pPr>
              <w:jc w:val="center"/>
              <w:rPr>
                <w:rFonts w:ascii="Arial" w:eastAsia="Times New Roman" w:hAnsi="Arial" w:cs="Arial"/>
                <w:b/>
                <w:bCs/>
                <w:i/>
                <w:iCs/>
                <w:color w:val="000000"/>
                <w:sz w:val="18"/>
                <w:szCs w:val="18"/>
                <w:lang w:val="en-US" w:eastAsia="en-US"/>
              </w:rPr>
            </w:pPr>
            <w:r w:rsidRPr="00677BAC">
              <w:rPr>
                <w:rFonts w:ascii="Arial" w:eastAsia="Times New Roman" w:hAnsi="Arial" w:cs="Arial"/>
                <w:b/>
                <w:bCs/>
                <w:i/>
                <w:iCs/>
                <w:color w:val="000000"/>
                <w:sz w:val="18"/>
                <w:szCs w:val="18"/>
                <w:lang w:val="en-US" w:eastAsia="en-US"/>
              </w:rPr>
              <w:t>72,100,792</w:t>
            </w:r>
          </w:p>
        </w:tc>
      </w:tr>
      <w:tr w:rsidR="00677BAC" w:rsidRPr="00677BAC" w:rsidTr="00677BAC">
        <w:trPr>
          <w:trHeight w:val="286"/>
        </w:trPr>
        <w:tc>
          <w:tcPr>
            <w:tcW w:w="2519" w:type="dxa"/>
            <w:tcBorders>
              <w:top w:val="nil"/>
              <w:left w:val="single" w:sz="8" w:space="0" w:color="auto"/>
              <w:bottom w:val="nil"/>
              <w:right w:val="single" w:sz="8" w:space="0" w:color="8EAADB"/>
            </w:tcBorders>
            <w:shd w:val="clear" w:color="auto" w:fill="auto"/>
            <w:vAlign w:val="center"/>
            <w:hideMark/>
          </w:tcPr>
          <w:p w:rsidR="00677BAC" w:rsidRPr="00677BAC" w:rsidRDefault="00677BAC" w:rsidP="00677BAC">
            <w:pPr>
              <w:jc w:val="right"/>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TOTALI [Euro]</w:t>
            </w:r>
          </w:p>
        </w:tc>
        <w:tc>
          <w:tcPr>
            <w:tcW w:w="1066" w:type="dxa"/>
            <w:vMerge w:val="restart"/>
            <w:tcBorders>
              <w:top w:val="nil"/>
              <w:left w:val="single" w:sz="8" w:space="0" w:color="8EAADB"/>
              <w:bottom w:val="single" w:sz="8" w:space="0" w:color="000000"/>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 </w:t>
            </w:r>
          </w:p>
        </w:tc>
        <w:tc>
          <w:tcPr>
            <w:tcW w:w="1830" w:type="dxa"/>
            <w:vMerge w:val="restart"/>
            <w:tcBorders>
              <w:top w:val="nil"/>
              <w:left w:val="single" w:sz="8" w:space="0" w:color="8EAADB"/>
              <w:bottom w:val="single" w:sz="8" w:space="0" w:color="000000"/>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bookmarkStart w:id="43" w:name="RANGE!C12"/>
            <w:r w:rsidRPr="00677BAC">
              <w:rPr>
                <w:rFonts w:ascii="Arial" w:eastAsia="Times New Roman" w:hAnsi="Arial" w:cs="Arial"/>
                <w:b/>
                <w:bCs/>
                <w:color w:val="000000"/>
                <w:sz w:val="18"/>
                <w:szCs w:val="18"/>
                <w:lang w:val="en-US" w:eastAsia="en-US"/>
              </w:rPr>
              <w:t>2,881,004</w:t>
            </w:r>
            <w:bookmarkEnd w:id="43"/>
          </w:p>
        </w:tc>
        <w:tc>
          <w:tcPr>
            <w:tcW w:w="1513" w:type="dxa"/>
            <w:vMerge w:val="restart"/>
            <w:tcBorders>
              <w:top w:val="nil"/>
              <w:left w:val="single" w:sz="8" w:space="0" w:color="8EAADB"/>
              <w:bottom w:val="single" w:sz="8" w:space="0" w:color="000000"/>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976,679</w:t>
            </w:r>
          </w:p>
        </w:tc>
        <w:tc>
          <w:tcPr>
            <w:tcW w:w="1446" w:type="dxa"/>
            <w:vMerge w:val="restart"/>
            <w:tcBorders>
              <w:top w:val="nil"/>
              <w:left w:val="single" w:sz="8" w:space="0" w:color="8EAADB"/>
              <w:bottom w:val="single" w:sz="8" w:space="0" w:color="000000"/>
              <w:right w:val="single" w:sz="8" w:space="0" w:color="8EAADB"/>
            </w:tcBorders>
            <w:shd w:val="clear" w:color="auto" w:fill="auto"/>
            <w:vAlign w:val="center"/>
            <w:hideMark/>
          </w:tcPr>
          <w:p w:rsidR="00677BAC" w:rsidRPr="00677BAC" w:rsidRDefault="00677BAC" w:rsidP="00677BAC">
            <w:pPr>
              <w:jc w:val="center"/>
              <w:rPr>
                <w:rFonts w:ascii="Arial" w:eastAsia="Times New Roman" w:hAnsi="Arial" w:cs="Arial"/>
                <w:b/>
                <w:bCs/>
                <w:color w:val="000000"/>
                <w:sz w:val="18"/>
                <w:szCs w:val="18"/>
                <w:lang w:val="en-US" w:eastAsia="en-US"/>
              </w:rPr>
            </w:pPr>
            <w:r w:rsidRPr="00677BAC">
              <w:rPr>
                <w:rFonts w:ascii="Arial" w:eastAsia="Times New Roman" w:hAnsi="Arial" w:cs="Arial"/>
                <w:b/>
                <w:bCs/>
                <w:color w:val="000000"/>
                <w:sz w:val="18"/>
                <w:szCs w:val="18"/>
                <w:lang w:val="en-US" w:eastAsia="en-US"/>
              </w:rPr>
              <w:t>1,322,866</w:t>
            </w:r>
          </w:p>
        </w:tc>
        <w:tc>
          <w:tcPr>
            <w:tcW w:w="1759" w:type="dxa"/>
            <w:vMerge w:val="restart"/>
            <w:tcBorders>
              <w:top w:val="nil"/>
              <w:left w:val="single" w:sz="8" w:space="0" w:color="8EAADB"/>
              <w:bottom w:val="single" w:sz="8" w:space="0" w:color="000000"/>
              <w:right w:val="single" w:sz="8" w:space="0" w:color="auto"/>
            </w:tcBorders>
            <w:shd w:val="clear" w:color="auto" w:fill="auto"/>
            <w:vAlign w:val="center"/>
            <w:hideMark/>
          </w:tcPr>
          <w:p w:rsidR="00677BAC" w:rsidRPr="00677BAC" w:rsidRDefault="00677BAC" w:rsidP="00677BAC">
            <w:pPr>
              <w:jc w:val="center"/>
              <w:rPr>
                <w:rFonts w:ascii="Arial" w:eastAsia="Times New Roman" w:hAnsi="Arial" w:cs="Arial"/>
                <w:b/>
                <w:bCs/>
                <w:i/>
                <w:iCs/>
                <w:color w:val="000000"/>
                <w:sz w:val="18"/>
                <w:szCs w:val="18"/>
                <w:lang w:val="en-US" w:eastAsia="en-US"/>
              </w:rPr>
            </w:pPr>
            <w:r w:rsidRPr="00677BAC">
              <w:rPr>
                <w:rFonts w:ascii="Arial" w:eastAsia="Times New Roman" w:hAnsi="Arial" w:cs="Arial"/>
                <w:b/>
                <w:bCs/>
                <w:i/>
                <w:iCs/>
                <w:color w:val="000000"/>
                <w:sz w:val="18"/>
                <w:szCs w:val="18"/>
                <w:lang w:val="en-US" w:eastAsia="en-US"/>
              </w:rPr>
              <w:t>581,458</w:t>
            </w:r>
          </w:p>
        </w:tc>
      </w:tr>
      <w:tr w:rsidR="00677BAC" w:rsidRPr="00677BAC" w:rsidTr="00677BAC">
        <w:trPr>
          <w:trHeight w:val="297"/>
        </w:trPr>
        <w:tc>
          <w:tcPr>
            <w:tcW w:w="2519" w:type="dxa"/>
            <w:tcBorders>
              <w:top w:val="nil"/>
              <w:left w:val="single" w:sz="8" w:space="0" w:color="auto"/>
              <w:bottom w:val="single" w:sz="8" w:space="0" w:color="auto"/>
              <w:right w:val="single" w:sz="8" w:space="0" w:color="8EAADB"/>
            </w:tcBorders>
            <w:shd w:val="clear" w:color="auto" w:fill="auto"/>
            <w:vAlign w:val="center"/>
            <w:hideMark/>
          </w:tcPr>
          <w:p w:rsidR="00677BAC" w:rsidRPr="00677BAC" w:rsidRDefault="00677BAC" w:rsidP="00677BAC">
            <w:pPr>
              <w:jc w:val="right"/>
              <w:rPr>
                <w:rFonts w:ascii="Arial" w:eastAsia="Times New Roman" w:hAnsi="Arial" w:cs="Arial"/>
                <w:b/>
                <w:bCs/>
                <w:i/>
                <w:iCs/>
                <w:color w:val="FF0000"/>
                <w:sz w:val="18"/>
                <w:szCs w:val="18"/>
                <w:lang w:val="en-US" w:eastAsia="en-US"/>
              </w:rPr>
            </w:pPr>
            <w:r w:rsidRPr="00677BAC">
              <w:rPr>
                <w:rFonts w:ascii="Arial" w:eastAsia="Times New Roman" w:hAnsi="Arial" w:cs="Arial"/>
                <w:b/>
                <w:bCs/>
                <w:i/>
                <w:iCs/>
                <w:color w:val="FF0000"/>
                <w:sz w:val="18"/>
                <w:szCs w:val="18"/>
                <w:lang w:val="en-US" w:eastAsia="en-US"/>
              </w:rPr>
              <w:t>1 euro 124 Leke</w:t>
            </w:r>
          </w:p>
        </w:tc>
        <w:tc>
          <w:tcPr>
            <w:tcW w:w="1066" w:type="dxa"/>
            <w:vMerge/>
            <w:tcBorders>
              <w:top w:val="nil"/>
              <w:left w:val="single" w:sz="8" w:space="0" w:color="8EAADB"/>
              <w:bottom w:val="single" w:sz="8" w:space="0" w:color="000000"/>
              <w:right w:val="single" w:sz="8" w:space="0" w:color="8EAADB"/>
            </w:tcBorders>
            <w:vAlign w:val="center"/>
            <w:hideMark/>
          </w:tcPr>
          <w:p w:rsidR="00677BAC" w:rsidRPr="00677BAC" w:rsidRDefault="00677BAC" w:rsidP="00677BAC">
            <w:pPr>
              <w:rPr>
                <w:rFonts w:ascii="Arial" w:eastAsia="Times New Roman" w:hAnsi="Arial" w:cs="Arial"/>
                <w:b/>
                <w:bCs/>
                <w:color w:val="000000"/>
                <w:sz w:val="18"/>
                <w:szCs w:val="18"/>
                <w:lang w:val="en-US" w:eastAsia="en-US"/>
              </w:rPr>
            </w:pPr>
          </w:p>
        </w:tc>
        <w:tc>
          <w:tcPr>
            <w:tcW w:w="1830" w:type="dxa"/>
            <w:vMerge/>
            <w:tcBorders>
              <w:top w:val="nil"/>
              <w:left w:val="single" w:sz="8" w:space="0" w:color="8EAADB"/>
              <w:bottom w:val="single" w:sz="8" w:space="0" w:color="000000"/>
              <w:right w:val="single" w:sz="8" w:space="0" w:color="8EAADB"/>
            </w:tcBorders>
            <w:vAlign w:val="center"/>
            <w:hideMark/>
          </w:tcPr>
          <w:p w:rsidR="00677BAC" w:rsidRPr="00677BAC" w:rsidRDefault="00677BAC" w:rsidP="00677BAC">
            <w:pPr>
              <w:rPr>
                <w:rFonts w:ascii="Arial" w:eastAsia="Times New Roman" w:hAnsi="Arial" w:cs="Arial"/>
                <w:b/>
                <w:bCs/>
                <w:color w:val="000000"/>
                <w:sz w:val="18"/>
                <w:szCs w:val="18"/>
                <w:lang w:val="en-US" w:eastAsia="en-US"/>
              </w:rPr>
            </w:pPr>
          </w:p>
        </w:tc>
        <w:tc>
          <w:tcPr>
            <w:tcW w:w="1513" w:type="dxa"/>
            <w:vMerge/>
            <w:tcBorders>
              <w:top w:val="nil"/>
              <w:left w:val="single" w:sz="8" w:space="0" w:color="8EAADB"/>
              <w:bottom w:val="single" w:sz="8" w:space="0" w:color="000000"/>
              <w:right w:val="single" w:sz="8" w:space="0" w:color="8EAADB"/>
            </w:tcBorders>
            <w:vAlign w:val="center"/>
            <w:hideMark/>
          </w:tcPr>
          <w:p w:rsidR="00677BAC" w:rsidRPr="00677BAC" w:rsidRDefault="00677BAC" w:rsidP="00677BAC">
            <w:pPr>
              <w:rPr>
                <w:rFonts w:ascii="Arial" w:eastAsia="Times New Roman" w:hAnsi="Arial" w:cs="Arial"/>
                <w:b/>
                <w:bCs/>
                <w:color w:val="000000"/>
                <w:sz w:val="18"/>
                <w:szCs w:val="18"/>
                <w:lang w:val="en-US" w:eastAsia="en-US"/>
              </w:rPr>
            </w:pPr>
          </w:p>
        </w:tc>
        <w:tc>
          <w:tcPr>
            <w:tcW w:w="1446" w:type="dxa"/>
            <w:vMerge/>
            <w:tcBorders>
              <w:top w:val="nil"/>
              <w:left w:val="single" w:sz="8" w:space="0" w:color="8EAADB"/>
              <w:bottom w:val="single" w:sz="8" w:space="0" w:color="000000"/>
              <w:right w:val="single" w:sz="8" w:space="0" w:color="8EAADB"/>
            </w:tcBorders>
            <w:vAlign w:val="center"/>
            <w:hideMark/>
          </w:tcPr>
          <w:p w:rsidR="00677BAC" w:rsidRPr="00677BAC" w:rsidRDefault="00677BAC" w:rsidP="00677BAC">
            <w:pPr>
              <w:rPr>
                <w:rFonts w:ascii="Arial" w:eastAsia="Times New Roman" w:hAnsi="Arial" w:cs="Arial"/>
                <w:b/>
                <w:bCs/>
                <w:color w:val="000000"/>
                <w:sz w:val="18"/>
                <w:szCs w:val="18"/>
                <w:lang w:val="en-US" w:eastAsia="en-US"/>
              </w:rPr>
            </w:pPr>
          </w:p>
        </w:tc>
        <w:tc>
          <w:tcPr>
            <w:tcW w:w="1759" w:type="dxa"/>
            <w:vMerge/>
            <w:tcBorders>
              <w:top w:val="nil"/>
              <w:left w:val="single" w:sz="8" w:space="0" w:color="8EAADB"/>
              <w:bottom w:val="single" w:sz="8" w:space="0" w:color="000000"/>
              <w:right w:val="single" w:sz="8" w:space="0" w:color="auto"/>
            </w:tcBorders>
            <w:vAlign w:val="center"/>
            <w:hideMark/>
          </w:tcPr>
          <w:p w:rsidR="00677BAC" w:rsidRPr="00677BAC" w:rsidRDefault="00677BAC" w:rsidP="00677BAC">
            <w:pPr>
              <w:rPr>
                <w:rFonts w:ascii="Arial" w:eastAsia="Times New Roman" w:hAnsi="Arial" w:cs="Arial"/>
                <w:b/>
                <w:bCs/>
                <w:i/>
                <w:iCs/>
                <w:color w:val="000000"/>
                <w:sz w:val="18"/>
                <w:szCs w:val="18"/>
                <w:lang w:val="en-US" w:eastAsia="en-US"/>
              </w:rPr>
            </w:pPr>
          </w:p>
        </w:tc>
      </w:tr>
    </w:tbl>
    <w:p w:rsidR="00B25990" w:rsidRPr="00677BAC" w:rsidRDefault="00B25990" w:rsidP="00BF02E2">
      <w:pPr>
        <w:spacing w:line="276" w:lineRule="auto"/>
        <w:jc w:val="both"/>
        <w:rPr>
          <w:color w:val="000000"/>
          <w:lang w:val="en-US"/>
        </w:rPr>
      </w:pPr>
    </w:p>
    <w:p w:rsidR="00FA7BF3" w:rsidRDefault="000935DC" w:rsidP="00BF02E2">
      <w:pPr>
        <w:spacing w:line="276" w:lineRule="auto"/>
        <w:jc w:val="both"/>
      </w:pPr>
      <w:r w:rsidRPr="002334B2">
        <w:t xml:space="preserve">Financimi i </w:t>
      </w:r>
      <w:r w:rsidR="00922624">
        <w:t>PKV</w:t>
      </w:r>
      <w:r w:rsidR="00226800">
        <w:t xml:space="preserve"> </w:t>
      </w:r>
      <w:r w:rsidRPr="002334B2">
        <w:t xml:space="preserve">do të realizohet nga </w:t>
      </w:r>
      <w:r>
        <w:t>disa</w:t>
      </w:r>
      <w:r w:rsidRPr="002334B2">
        <w:t xml:space="preserve"> burime, </w:t>
      </w:r>
      <w:r>
        <w:t>por</w:t>
      </w:r>
      <w:r w:rsidRPr="002334B2">
        <w:t xml:space="preserve"> buxheti i shtetit</w:t>
      </w:r>
      <w:r>
        <w:t>, fondet e NJ</w:t>
      </w:r>
      <w:r w:rsidR="00FA7BF3">
        <w:t>V</w:t>
      </w:r>
      <w:r>
        <w:t>V</w:t>
      </w:r>
      <w:r w:rsidR="00FA7BF3">
        <w:t xml:space="preserve"> dhe mbështetja financiare nga donatorw dhe partnerw tw ndryshwm.</w:t>
      </w:r>
    </w:p>
    <w:p w:rsidR="000935DC" w:rsidRDefault="000935DC" w:rsidP="00BF02E2">
      <w:pPr>
        <w:spacing w:line="276" w:lineRule="auto"/>
        <w:jc w:val="both"/>
      </w:pPr>
      <w:r w:rsidRPr="002334B2">
        <w:t xml:space="preserve"> Për periudhën 2021-20</w:t>
      </w:r>
      <w:r w:rsidR="00922624">
        <w:t>27</w:t>
      </w:r>
      <w:r w:rsidRPr="002334B2">
        <w:t xml:space="preserve">, buxheti i shtetit pritet të financojë zbatimin e planit në masën </w:t>
      </w:r>
      <w:r w:rsidR="00175F9D">
        <w:t>61.4</w:t>
      </w:r>
      <w:r w:rsidRPr="002334B2">
        <w:t xml:space="preserve">% të financimit të nevojshëm, </w:t>
      </w:r>
      <w:r w:rsidR="00223176">
        <w:t>18.3</w:t>
      </w:r>
      <w:r w:rsidRPr="002334B2">
        <w:t xml:space="preserve">% pritet të financohet nga </w:t>
      </w:r>
      <w:r>
        <w:t xml:space="preserve">burime të tjera dhe donatorët, ndërsa </w:t>
      </w:r>
      <w:r w:rsidR="00223176">
        <w:t>20.3</w:t>
      </w:r>
      <w:r>
        <w:t xml:space="preserve">% është hendek financiar. </w:t>
      </w:r>
    </w:p>
    <w:p w:rsidR="00223176" w:rsidRDefault="00223176" w:rsidP="00BF02E2">
      <w:pPr>
        <w:spacing w:line="276" w:lineRule="auto"/>
        <w:jc w:val="both"/>
      </w:pPr>
    </w:p>
    <w:p w:rsidR="00223176" w:rsidRDefault="00223176" w:rsidP="00BF02E2">
      <w:pPr>
        <w:spacing w:line="276" w:lineRule="auto"/>
        <w:jc w:val="both"/>
      </w:pPr>
      <w:r w:rsidRPr="00223176">
        <w:drawing>
          <wp:inline distT="0" distB="0" distL="0" distR="0">
            <wp:extent cx="5731510" cy="4164530"/>
            <wp:effectExtent l="19050" t="0" r="21590" b="7420"/>
            <wp:docPr id="2" name="Chart 2">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5990" w:rsidRDefault="00B25990" w:rsidP="00BF02E2">
      <w:pPr>
        <w:spacing w:line="276" w:lineRule="auto"/>
        <w:jc w:val="both"/>
      </w:pPr>
    </w:p>
    <w:p w:rsidR="000E6FAA" w:rsidRDefault="000E6FAA" w:rsidP="00BF02E2">
      <w:pPr>
        <w:spacing w:line="276" w:lineRule="auto"/>
        <w:jc w:val="both"/>
      </w:pPr>
    </w:p>
    <w:p w:rsidR="00B836F4" w:rsidRDefault="00B836F4" w:rsidP="00BF02E2">
      <w:pPr>
        <w:spacing w:line="276" w:lineRule="auto"/>
        <w:jc w:val="both"/>
      </w:pPr>
      <w:r>
        <w:lastRenderedPageBreak/>
        <w:t xml:space="preserve">Kostot korente zënë rreth </w:t>
      </w:r>
      <w:r w:rsidR="002F3BD1">
        <w:t>96</w:t>
      </w:r>
      <w:r>
        <w:t>% të shpenzimeve totale, ndërsa pjesa tjetër (</w:t>
      </w:r>
      <w:r w:rsidR="002F3BD1">
        <w:t>4</w:t>
      </w:r>
      <w:r>
        <w:t>%) është e parashikuar për kosto kapitale.</w:t>
      </w:r>
    </w:p>
    <w:p w:rsidR="000E6FAA" w:rsidRDefault="000E6FAA" w:rsidP="00BF02E2">
      <w:pPr>
        <w:spacing w:line="276" w:lineRule="auto"/>
        <w:jc w:val="both"/>
      </w:pPr>
    </w:p>
    <w:p w:rsidR="000E6FAA" w:rsidRDefault="000E6FAA" w:rsidP="00BF02E2">
      <w:pPr>
        <w:spacing w:line="276" w:lineRule="auto"/>
        <w:jc w:val="both"/>
      </w:pPr>
    </w:p>
    <w:p w:rsidR="00B836F4" w:rsidRDefault="002F3BD1" w:rsidP="00E1585E">
      <w:pPr>
        <w:tabs>
          <w:tab w:val="left" w:pos="1440"/>
        </w:tabs>
        <w:spacing w:line="276" w:lineRule="auto"/>
        <w:jc w:val="center"/>
      </w:pPr>
      <w:r w:rsidRPr="002F3BD1">
        <w:rPr>
          <w:color w:val="000000"/>
          <w:lang w:val="en-US"/>
        </w:rPr>
        <w:drawing>
          <wp:inline distT="0" distB="0" distL="0" distR="0">
            <wp:extent cx="5731510" cy="4160243"/>
            <wp:effectExtent l="19050" t="0" r="21590" b="0"/>
            <wp:docPr id="4" name="Chart 4">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01AD" w:rsidRDefault="003E01AD" w:rsidP="00572F7C">
      <w:pPr>
        <w:spacing w:line="276" w:lineRule="auto"/>
        <w:jc w:val="both"/>
      </w:pPr>
    </w:p>
    <w:p w:rsidR="003E01AD" w:rsidRDefault="003E01AD" w:rsidP="00572F7C">
      <w:pPr>
        <w:spacing w:line="276" w:lineRule="auto"/>
        <w:jc w:val="both"/>
      </w:pPr>
    </w:p>
    <w:p w:rsidR="00977718" w:rsidRDefault="009F0D35" w:rsidP="00572F7C">
      <w:pPr>
        <w:spacing w:line="276" w:lineRule="auto"/>
        <w:jc w:val="both"/>
      </w:pPr>
      <w:r>
        <w:t>Tabela e m</w:t>
      </w:r>
      <w:r w:rsidR="000E6FAA">
        <w:t>ë</w:t>
      </w:r>
      <w:r>
        <w:t>posht</w:t>
      </w:r>
      <w:r w:rsidR="000E6FAA">
        <w:t>ë</w:t>
      </w:r>
      <w:r>
        <w:t>me jep  t</w:t>
      </w:r>
      <w:r w:rsidR="000E6FAA">
        <w:t>ë</w:t>
      </w:r>
      <w:r>
        <w:t xml:space="preserve"> dhenat sipas 3 q</w:t>
      </w:r>
      <w:r w:rsidR="000E6FAA">
        <w:t>ë</w:t>
      </w:r>
      <w:r>
        <w:t>llime kryesore, pjesa m</w:t>
      </w:r>
      <w:r w:rsidR="000E6FAA">
        <w:t>ë</w:t>
      </w:r>
      <w:r>
        <w:t xml:space="preserve"> e madhe e investimeve shkon p</w:t>
      </w:r>
      <w:r w:rsidR="000E6FAA">
        <w:t>ë</w:t>
      </w:r>
      <w:r>
        <w:t>r mb</w:t>
      </w:r>
      <w:r w:rsidR="000E6FAA">
        <w:t>ë</w:t>
      </w:r>
      <w:r>
        <w:t>shtetjen e k</w:t>
      </w:r>
      <w:r w:rsidR="000E6FAA">
        <w:t>ë</w:t>
      </w:r>
      <w:r>
        <w:t xml:space="preserve">tij grupi vulnerabel </w:t>
      </w:r>
      <w:r w:rsidR="00630F1B">
        <w:t xml:space="preserve">me </w:t>
      </w:r>
      <w:r w:rsidR="00630F1B" w:rsidRPr="00630F1B">
        <w:t xml:space="preserve"> Subvencionimi i sipërmarrjeve të personave LGBTI+ që zbatojnë ide inovatore me fokus tek dixhitalizimi dhe ekonomia mjedisore.</w:t>
      </w:r>
    </w:p>
    <w:p w:rsidR="00630F1B" w:rsidRDefault="00630F1B" w:rsidP="00572F7C">
      <w:pPr>
        <w:spacing w:line="276" w:lineRule="auto"/>
        <w:jc w:val="both"/>
      </w:pPr>
      <w:r>
        <w:t>Plani i Komb</w:t>
      </w:r>
      <w:r w:rsidR="000E6FAA">
        <w:t>ë</w:t>
      </w:r>
      <w:r>
        <w:t>tar i</w:t>
      </w:r>
      <w:r w:rsidR="007E41D8">
        <w:t xml:space="preserve"> Veprimit </w:t>
      </w:r>
      <w:r w:rsidR="000E6FAA">
        <w:t>ë</w:t>
      </w:r>
      <w:r w:rsidR="007E41D8">
        <w:t>sht</w:t>
      </w:r>
      <w:r w:rsidR="000E6FAA">
        <w:t>ë</w:t>
      </w:r>
      <w:r w:rsidR="007E41D8">
        <w:t xml:space="preserve"> parashikuar p</w:t>
      </w:r>
      <w:r w:rsidR="000E6FAA">
        <w:t>ë</w:t>
      </w:r>
      <w:r w:rsidR="007E41D8">
        <w:t>r t</w:t>
      </w:r>
      <w:r w:rsidR="000E6FAA">
        <w:t>ë</w:t>
      </w:r>
      <w:r w:rsidR="007E41D8">
        <w:t xml:space="preserve"> patur nje Mead term Revie gjat</w:t>
      </w:r>
      <w:r w:rsidR="000E6FAA">
        <w:t>ë</w:t>
      </w:r>
      <w:r w:rsidR="007E41D8">
        <w:t xml:space="preserve"> vitt </w:t>
      </w:r>
      <w:r w:rsidR="003E01AD">
        <w:t>2024-2025, n</w:t>
      </w:r>
      <w:r w:rsidR="000E6FAA">
        <w:t>ë</w:t>
      </w:r>
      <w:r w:rsidR="003E01AD">
        <w:t>p</w:t>
      </w:r>
      <w:r w:rsidR="000E6FAA">
        <w:t>ë</w:t>
      </w:r>
      <w:r w:rsidR="003E01AD">
        <w:t>rmjet t</w:t>
      </w:r>
      <w:r w:rsidR="000E6FAA">
        <w:t>ë</w:t>
      </w:r>
      <w:r w:rsidR="003E01AD">
        <w:t xml:space="preserve"> cilit do t</w:t>
      </w:r>
      <w:r w:rsidR="000E6FAA">
        <w:t>ë</w:t>
      </w:r>
      <w:r w:rsidR="003E01AD">
        <w:t xml:space="preserve"> vler</w:t>
      </w:r>
      <w:r w:rsidR="000E6FAA">
        <w:t>ë</w:t>
      </w:r>
      <w:r w:rsidR="003E01AD">
        <w:t>sohen masat e arritura duke reflektuar ndryshme objektive p</w:t>
      </w:r>
      <w:r w:rsidR="000E6FAA">
        <w:t>ë</w:t>
      </w:r>
      <w:r w:rsidR="003E01AD">
        <w:t>r t</w:t>
      </w:r>
      <w:r w:rsidR="000E6FAA">
        <w:t>ë</w:t>
      </w:r>
      <w:r w:rsidR="003E01AD">
        <w:t xml:space="preserve"> ardhmen </w:t>
      </w:r>
    </w:p>
    <w:p w:rsidR="00B25990" w:rsidRDefault="009F0D35" w:rsidP="00BF02E2">
      <w:pPr>
        <w:tabs>
          <w:tab w:val="left" w:pos="1440"/>
        </w:tabs>
        <w:spacing w:line="276" w:lineRule="auto"/>
        <w:jc w:val="center"/>
      </w:pPr>
      <w:r w:rsidRPr="009F0D35">
        <w:lastRenderedPageBreak/>
        <w:drawing>
          <wp:inline distT="0" distB="0" distL="0" distR="0">
            <wp:extent cx="5731510" cy="4164530"/>
            <wp:effectExtent l="19050" t="0" r="21590" b="7420"/>
            <wp:docPr id="5" name="Chart 5">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5990" w:rsidRPr="00440352" w:rsidRDefault="00B25990" w:rsidP="00B25990">
      <w:pPr>
        <w:spacing w:line="276" w:lineRule="auto"/>
        <w:jc w:val="both"/>
        <w:rPr>
          <w:color w:val="000000"/>
          <w:lang w:val="en-US"/>
        </w:rPr>
      </w:pPr>
    </w:p>
    <w:p w:rsidR="00CE56BE" w:rsidRDefault="00CE56BE" w:rsidP="00BF02E2">
      <w:pPr>
        <w:autoSpaceDE w:val="0"/>
        <w:autoSpaceDN w:val="0"/>
        <w:adjustRightInd w:val="0"/>
        <w:spacing w:line="276" w:lineRule="auto"/>
        <w:jc w:val="center"/>
      </w:pPr>
    </w:p>
    <w:p w:rsidR="00724FBE" w:rsidRDefault="00724FBE" w:rsidP="00BF02E2">
      <w:pPr>
        <w:autoSpaceDE w:val="0"/>
        <w:autoSpaceDN w:val="0"/>
        <w:adjustRightInd w:val="0"/>
        <w:spacing w:line="276" w:lineRule="auto"/>
        <w:jc w:val="center"/>
        <w:sectPr w:rsidR="00724FBE" w:rsidSect="00A002A7">
          <w:footerReference w:type="default" r:id="rId13"/>
          <w:headerReference w:type="first" r:id="rId14"/>
          <w:pgSz w:w="11906" w:h="16838"/>
          <w:pgMar w:top="1440" w:right="1440" w:bottom="1440" w:left="1440" w:header="720" w:footer="720" w:gutter="0"/>
          <w:cols w:space="720"/>
          <w:titlePg/>
          <w:docGrid w:linePitch="360"/>
        </w:sectPr>
      </w:pPr>
    </w:p>
    <w:p w:rsidR="00042035" w:rsidRPr="007A2B7D" w:rsidRDefault="002F3CB8" w:rsidP="007A2B7D">
      <w:pPr>
        <w:pStyle w:val="Heading1"/>
        <w:shd w:val="clear" w:color="auto" w:fill="99FFCC"/>
        <w:spacing w:before="0" w:after="0" w:line="276" w:lineRule="auto"/>
        <w:rPr>
          <w:rFonts w:ascii="Times New Roman" w:hAnsi="Times New Roman"/>
          <w:color w:val="FF00FF"/>
          <w:sz w:val="24"/>
          <w:szCs w:val="24"/>
        </w:rPr>
      </w:pPr>
      <w:bookmarkStart w:id="44" w:name="_Toc79509634"/>
      <w:r w:rsidRPr="007A2B7D">
        <w:rPr>
          <w:rFonts w:ascii="Times New Roman" w:hAnsi="Times New Roman"/>
          <w:color w:val="FF00FF"/>
          <w:sz w:val="24"/>
          <w:szCs w:val="24"/>
        </w:rPr>
        <w:lastRenderedPageBreak/>
        <w:t>ANEKS 1. MATRICA E QËLLIMEVE TË POLITIKËS DHE TREGUESIT</w:t>
      </w:r>
      <w:bookmarkEnd w:id="44"/>
    </w:p>
    <w:p w:rsidR="00CE56BE" w:rsidRDefault="00CE56BE" w:rsidP="00BF02E2">
      <w:pPr>
        <w:spacing w:line="276" w:lineRule="auto"/>
      </w:pPr>
    </w:p>
    <w:tbl>
      <w:tblPr>
        <w:tblW w:w="13950" w:type="dxa"/>
        <w:tblInd w:w="-5" w:type="dxa"/>
        <w:tblLayout w:type="fixed"/>
        <w:tblLook w:val="04A0"/>
      </w:tblPr>
      <w:tblGrid>
        <w:gridCol w:w="1080"/>
        <w:gridCol w:w="3510"/>
        <w:gridCol w:w="1710"/>
        <w:gridCol w:w="2070"/>
        <w:gridCol w:w="1980"/>
        <w:gridCol w:w="2070"/>
        <w:gridCol w:w="1530"/>
      </w:tblGrid>
      <w:tr w:rsidR="00DC0C06" w:rsidRPr="007A2B7D" w:rsidTr="007A2B7D">
        <w:trPr>
          <w:trHeight w:val="30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C06" w:rsidRPr="007A2B7D" w:rsidRDefault="00DC0C06" w:rsidP="00DC0C06">
            <w:pPr>
              <w:jc w:val="center"/>
              <w:rPr>
                <w:rFonts w:eastAsia="Times New Roman"/>
                <w:b/>
                <w:bCs/>
                <w:color w:val="000000"/>
                <w:lang w:val="en-US" w:eastAsia="en-US"/>
              </w:rPr>
            </w:pPr>
            <w:r w:rsidRPr="007A2B7D">
              <w:rPr>
                <w:rFonts w:eastAsia="Times New Roman"/>
                <w:b/>
                <w:bCs/>
                <w:color w:val="000000"/>
                <w:sz w:val="22"/>
                <w:szCs w:val="22"/>
                <w:lang w:val="en-US" w:eastAsia="en-US"/>
              </w:rPr>
              <w:t>Lloji i treguesit</w:t>
            </w:r>
          </w:p>
        </w:tc>
        <w:tc>
          <w:tcPr>
            <w:tcW w:w="3510"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C0C06" w:rsidRPr="007A2B7D" w:rsidRDefault="00DC0C06" w:rsidP="00DC0C06">
            <w:pPr>
              <w:jc w:val="center"/>
              <w:rPr>
                <w:rFonts w:eastAsia="Times New Roman"/>
                <w:b/>
                <w:bCs/>
                <w:color w:val="000000"/>
                <w:lang w:val="en-US" w:eastAsia="en-US"/>
              </w:rPr>
            </w:pPr>
            <w:r w:rsidRPr="007A2B7D">
              <w:rPr>
                <w:rFonts w:eastAsia="Times New Roman"/>
                <w:b/>
                <w:bCs/>
                <w:color w:val="000000"/>
                <w:sz w:val="22"/>
                <w:szCs w:val="22"/>
                <w:lang w:val="en-US" w:eastAsia="en-US"/>
              </w:rPr>
              <w:t>Emërtimi i Indikatorit</w:t>
            </w:r>
          </w:p>
        </w:tc>
        <w:tc>
          <w:tcPr>
            <w:tcW w:w="171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DC0C06" w:rsidRPr="007A2B7D" w:rsidRDefault="00DC0C06" w:rsidP="00B65F4D">
            <w:pPr>
              <w:jc w:val="center"/>
              <w:rPr>
                <w:rFonts w:eastAsia="Times New Roman"/>
                <w:b/>
                <w:bCs/>
                <w:color w:val="000000"/>
                <w:lang w:val="en-US" w:eastAsia="en-US"/>
              </w:rPr>
            </w:pPr>
            <w:r w:rsidRPr="007A2B7D">
              <w:rPr>
                <w:rFonts w:eastAsia="Times New Roman"/>
                <w:b/>
                <w:bCs/>
                <w:color w:val="000000"/>
                <w:sz w:val="22"/>
                <w:szCs w:val="22"/>
                <w:lang w:val="en-US" w:eastAsia="en-US"/>
              </w:rPr>
              <w:t>Lidhja me Nr e Shtyllës s</w:t>
            </w:r>
            <w:r w:rsidR="00B65F4D">
              <w:rPr>
                <w:rFonts w:eastAsia="Times New Roman"/>
                <w:b/>
                <w:bCs/>
                <w:color w:val="000000"/>
                <w:sz w:val="22"/>
                <w:szCs w:val="22"/>
                <w:lang w:val="en-US" w:eastAsia="en-US"/>
              </w:rPr>
              <w:t>ë</w:t>
            </w:r>
            <w:r w:rsidRPr="007A2B7D">
              <w:rPr>
                <w:rFonts w:eastAsia="Times New Roman"/>
                <w:b/>
                <w:bCs/>
                <w:color w:val="000000"/>
                <w:sz w:val="22"/>
                <w:szCs w:val="22"/>
                <w:lang w:val="en-US" w:eastAsia="en-US"/>
              </w:rPr>
              <w:t xml:space="preserve"> SKZHI </w:t>
            </w:r>
          </w:p>
        </w:tc>
        <w:tc>
          <w:tcPr>
            <w:tcW w:w="207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DC0C06" w:rsidRPr="007A2B7D" w:rsidRDefault="00DC0C06" w:rsidP="00DC0C06">
            <w:pPr>
              <w:jc w:val="center"/>
              <w:rPr>
                <w:rFonts w:eastAsia="Times New Roman"/>
                <w:b/>
                <w:bCs/>
                <w:color w:val="000000"/>
                <w:lang w:val="en-US" w:eastAsia="en-US"/>
              </w:rPr>
            </w:pPr>
            <w:r w:rsidRPr="007A2B7D">
              <w:rPr>
                <w:rFonts w:eastAsia="Times New Roman"/>
                <w:b/>
                <w:bCs/>
                <w:color w:val="000000"/>
                <w:sz w:val="22"/>
                <w:szCs w:val="22"/>
                <w:lang w:val="en-US" w:eastAsia="en-US"/>
              </w:rPr>
              <w:t>Qëllimi/Objektivi Strategjik në SKZHI</w:t>
            </w:r>
          </w:p>
        </w:tc>
        <w:tc>
          <w:tcPr>
            <w:tcW w:w="19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DC0C06" w:rsidRPr="007A2B7D" w:rsidRDefault="00DC0C06" w:rsidP="00DC0C06">
            <w:pPr>
              <w:jc w:val="center"/>
              <w:rPr>
                <w:rFonts w:eastAsia="Times New Roman"/>
                <w:b/>
                <w:bCs/>
                <w:color w:val="000000"/>
                <w:lang w:val="en-US" w:eastAsia="en-US"/>
              </w:rPr>
            </w:pPr>
            <w:r w:rsidRPr="007A2B7D">
              <w:rPr>
                <w:rFonts w:eastAsia="Times New Roman"/>
                <w:b/>
                <w:bCs/>
                <w:color w:val="000000"/>
                <w:sz w:val="22"/>
                <w:szCs w:val="22"/>
                <w:lang w:val="en-US" w:eastAsia="en-US"/>
              </w:rPr>
              <w:t>Qëllimi i Politikës</w:t>
            </w:r>
          </w:p>
        </w:tc>
        <w:tc>
          <w:tcPr>
            <w:tcW w:w="207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DC0C06" w:rsidRPr="007A2B7D" w:rsidRDefault="00DC0C06" w:rsidP="00DC0C06">
            <w:pPr>
              <w:jc w:val="center"/>
              <w:rPr>
                <w:rFonts w:eastAsia="Times New Roman"/>
                <w:b/>
                <w:bCs/>
                <w:color w:val="000000"/>
                <w:lang w:val="en-US" w:eastAsia="en-US"/>
              </w:rPr>
            </w:pPr>
            <w:r w:rsidRPr="007A2B7D">
              <w:rPr>
                <w:rFonts w:eastAsia="Times New Roman"/>
                <w:b/>
                <w:bCs/>
                <w:color w:val="000000"/>
                <w:sz w:val="22"/>
                <w:szCs w:val="22"/>
                <w:lang w:val="en-US" w:eastAsia="en-US"/>
              </w:rPr>
              <w:t xml:space="preserve">Objektivi Specifik me të cilin lidhet indikatori/treguesi  </w:t>
            </w:r>
          </w:p>
        </w:tc>
        <w:tc>
          <w:tcPr>
            <w:tcW w:w="153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DC0C06" w:rsidRPr="007A2B7D" w:rsidRDefault="00DC0C06" w:rsidP="00DC0C06">
            <w:pPr>
              <w:jc w:val="center"/>
              <w:rPr>
                <w:rFonts w:eastAsia="Times New Roman"/>
                <w:b/>
                <w:bCs/>
                <w:color w:val="000000"/>
                <w:lang w:val="en-US" w:eastAsia="en-US"/>
              </w:rPr>
            </w:pPr>
            <w:r w:rsidRPr="007A2B7D">
              <w:rPr>
                <w:rFonts w:eastAsia="Times New Roman"/>
                <w:b/>
                <w:bCs/>
                <w:color w:val="000000"/>
                <w:sz w:val="22"/>
                <w:szCs w:val="22"/>
                <w:lang w:val="en-US" w:eastAsia="en-US"/>
              </w:rPr>
              <w:t>Burimi i të dhënave për monitorimin e treguesit të performancës</w:t>
            </w:r>
          </w:p>
        </w:tc>
      </w:tr>
      <w:tr w:rsidR="00DC0C06" w:rsidRPr="007A2B7D" w:rsidTr="007A2B7D">
        <w:trPr>
          <w:trHeight w:val="30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C0C06" w:rsidRPr="007A2B7D" w:rsidRDefault="00DC0C06" w:rsidP="00DC0C06">
            <w:pPr>
              <w:rPr>
                <w:rFonts w:eastAsia="Times New Roman"/>
                <w:b/>
                <w:bCs/>
                <w:color w:val="000000"/>
                <w:lang w:val="en-US" w:eastAsia="en-US"/>
              </w:rPr>
            </w:pPr>
          </w:p>
        </w:tc>
      </w:tr>
      <w:tr w:rsidR="00DC0C06" w:rsidRPr="007A2B7D" w:rsidTr="007A2B7D">
        <w:trPr>
          <w:trHeight w:val="127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impakti</w:t>
            </w:r>
          </w:p>
        </w:tc>
        <w:tc>
          <w:tcPr>
            <w:tcW w:w="3510" w:type="dxa"/>
            <w:tcBorders>
              <w:top w:val="nil"/>
              <w:left w:val="nil"/>
              <w:bottom w:val="single" w:sz="4" w:space="0" w:color="auto"/>
              <w:right w:val="single" w:sz="4" w:space="0" w:color="auto"/>
            </w:tcBorders>
            <w:shd w:val="clear" w:color="000000" w:fill="FFFFFF"/>
            <w:vAlign w:val="center"/>
            <w:hideMark/>
          </w:tcPr>
          <w:p w:rsidR="00DC0C06" w:rsidRPr="007A2B7D" w:rsidRDefault="00DC0C06" w:rsidP="00DC0C06">
            <w:pPr>
              <w:rPr>
                <w:rFonts w:eastAsia="Times New Roman"/>
                <w:lang w:val="en-US" w:eastAsia="en-US"/>
              </w:rPr>
            </w:pPr>
            <w:r w:rsidRPr="007A2B7D">
              <w:rPr>
                <w:rFonts w:eastAsia="Times New Roman"/>
                <w:sz w:val="22"/>
                <w:szCs w:val="22"/>
                <w:lang w:val="en-US" w:eastAsia="en-US"/>
              </w:rPr>
              <w:t xml:space="preserve">Numri i personave LGBTI+ të cilët përfitojnë shërbime mbështetëse të specializuara miqësore e sipas standardeve </w:t>
            </w:r>
          </w:p>
        </w:tc>
        <w:tc>
          <w:tcPr>
            <w:tcW w:w="171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lang w:val="en-US" w:eastAsia="en-US"/>
              </w:rPr>
            </w:pPr>
            <w:r w:rsidRPr="007A2B7D">
              <w:rPr>
                <w:rFonts w:eastAsia="Times New Roman"/>
                <w:sz w:val="22"/>
                <w:szCs w:val="22"/>
                <w:lang w:val="en-US" w:eastAsia="en-US"/>
              </w:rPr>
              <w:t>11.6. Konsolidimi i mbrojtjes shoqërore</w:t>
            </w:r>
          </w:p>
        </w:tc>
        <w:tc>
          <w:tcPr>
            <w:tcW w:w="198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Aksesueshmëria në shërbime mbështetëse të specializuara sipas standardeve</w:t>
            </w:r>
          </w:p>
        </w:tc>
        <w:tc>
          <w:tcPr>
            <w:tcW w:w="2070" w:type="dxa"/>
            <w:tcBorders>
              <w:top w:val="nil"/>
              <w:left w:val="nil"/>
              <w:bottom w:val="single" w:sz="4" w:space="0" w:color="auto"/>
              <w:right w:val="single" w:sz="4" w:space="0" w:color="auto"/>
            </w:tcBorders>
            <w:shd w:val="clear" w:color="FFFFFF" w:fill="EBF1DE"/>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Qëllimi Strategjik I - Përmirësimi i aksesit të personave LGBTI+ në shërbime publike dhe shërbime mbështetëse të specializuara efektive, cilësore dhe të disponueshme në mbarë vendin, në përputhje me nevojat specfike të tyre dhe me standarde kombëtare të harmonizuara me ato evropiane</w:t>
            </w:r>
            <w:r w:rsidR="007A2B7D">
              <w:rPr>
                <w:rFonts w:eastAsia="Times New Roman"/>
                <w:color w:val="000000"/>
                <w:sz w:val="22"/>
                <w:szCs w:val="22"/>
                <w:lang w:val="en-US" w:eastAsia="en-US"/>
              </w:rPr>
              <w:t xml:space="preserve"> </w:t>
            </w:r>
            <w:r w:rsidRPr="007A2B7D">
              <w:rPr>
                <w:rFonts w:eastAsia="Times New Roman"/>
                <w:color w:val="000000"/>
                <w:sz w:val="22"/>
                <w:szCs w:val="22"/>
                <w:lang w:val="en-US" w:eastAsia="en-US"/>
              </w:rPr>
              <w:t>/ndërkombëtare</w:t>
            </w:r>
          </w:p>
        </w:tc>
        <w:tc>
          <w:tcPr>
            <w:tcW w:w="1530" w:type="dxa"/>
            <w:tcBorders>
              <w:top w:val="nil"/>
              <w:left w:val="nil"/>
              <w:bottom w:val="single" w:sz="4" w:space="0" w:color="auto"/>
              <w:right w:val="single" w:sz="4" w:space="0" w:color="auto"/>
            </w:tcBorders>
            <w:shd w:val="clear" w:color="FFFFFF"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MSHMS</w:t>
            </w:r>
          </w:p>
        </w:tc>
      </w:tr>
      <w:tr w:rsidR="00DC0C06" w:rsidRPr="007A2B7D" w:rsidTr="007A2B7D">
        <w:trPr>
          <w:trHeight w:val="127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impakti</w:t>
            </w:r>
          </w:p>
        </w:tc>
        <w:tc>
          <w:tcPr>
            <w:tcW w:w="3510" w:type="dxa"/>
            <w:tcBorders>
              <w:top w:val="nil"/>
              <w:left w:val="nil"/>
              <w:bottom w:val="single" w:sz="4" w:space="0" w:color="auto"/>
              <w:right w:val="single" w:sz="4" w:space="0" w:color="auto"/>
            </w:tcBorders>
            <w:shd w:val="clear" w:color="FFFFFF" w:fill="FFFFFF"/>
            <w:vAlign w:val="center"/>
            <w:hideMark/>
          </w:tcPr>
          <w:p w:rsidR="00DC0C06" w:rsidRPr="007A2B7D" w:rsidRDefault="00DC0C06" w:rsidP="00DC0C06">
            <w:pPr>
              <w:rPr>
                <w:rFonts w:eastAsia="Times New Roman"/>
                <w:color w:val="000000"/>
                <w:lang w:val="en-US" w:eastAsia="en-US"/>
              </w:rPr>
            </w:pPr>
            <w:r w:rsidRPr="007A2B7D">
              <w:rPr>
                <w:rFonts w:eastAsia="Times New Roman"/>
                <w:color w:val="000000"/>
                <w:sz w:val="22"/>
                <w:szCs w:val="22"/>
                <w:lang w:val="en-US" w:eastAsia="en-US"/>
              </w:rPr>
              <w:t>Numri i personave transgjinorë dhe interseks të trajtuar në aspektin shëndetësor sipas protokolleve shëndetësore, të miratuara në përputhje me standardet evropiane / ndërkombëtare.</w:t>
            </w:r>
          </w:p>
        </w:tc>
        <w:tc>
          <w:tcPr>
            <w:tcW w:w="171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lang w:val="en-US" w:eastAsia="en-US"/>
              </w:rPr>
            </w:pPr>
            <w:r w:rsidRPr="007A2B7D">
              <w:rPr>
                <w:rFonts w:eastAsia="Times New Roman"/>
                <w:sz w:val="22"/>
                <w:szCs w:val="22"/>
                <w:lang w:val="en-US" w:eastAsia="en-US"/>
              </w:rPr>
              <w:t>11.2. Një sistem i kujdesit shëndetësor më i fortë dhe më i aksesueshëm</w:t>
            </w:r>
          </w:p>
        </w:tc>
        <w:tc>
          <w:tcPr>
            <w:tcW w:w="198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Kujes shëndetësor universal cilësor dhe në kohë</w:t>
            </w:r>
          </w:p>
        </w:tc>
        <w:tc>
          <w:tcPr>
            <w:tcW w:w="2070" w:type="dxa"/>
            <w:tcBorders>
              <w:top w:val="nil"/>
              <w:left w:val="nil"/>
              <w:bottom w:val="single" w:sz="4" w:space="0" w:color="auto"/>
              <w:right w:val="single" w:sz="4" w:space="0" w:color="auto"/>
            </w:tcBorders>
            <w:shd w:val="clear" w:color="FFFFFF" w:fill="EBF1DE"/>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 xml:space="preserve">Qëllimi Strategjik I - Përmirësimi i aksesit të personave LGBTI+ në shërbime publike dhe shërbime mbështetëse të specializuara efektive, cilësore dhe të disponueshme </w:t>
            </w:r>
            <w:r w:rsidRPr="007A2B7D">
              <w:rPr>
                <w:rFonts w:eastAsia="Times New Roman"/>
                <w:color w:val="000000"/>
                <w:sz w:val="22"/>
                <w:szCs w:val="22"/>
                <w:lang w:val="en-US" w:eastAsia="en-US"/>
              </w:rPr>
              <w:lastRenderedPageBreak/>
              <w:t>në mbarë vendin, në përputhje me nevojat specfike të tyre dhe me standarde kombëtare të harmonizuara me ato evropiane</w:t>
            </w:r>
            <w:r w:rsidR="007A2B7D">
              <w:rPr>
                <w:rFonts w:eastAsia="Times New Roman"/>
                <w:color w:val="000000"/>
                <w:sz w:val="22"/>
                <w:szCs w:val="22"/>
                <w:lang w:val="en-US" w:eastAsia="en-US"/>
              </w:rPr>
              <w:t xml:space="preserve"> </w:t>
            </w:r>
            <w:r w:rsidRPr="007A2B7D">
              <w:rPr>
                <w:rFonts w:eastAsia="Times New Roman"/>
                <w:color w:val="000000"/>
                <w:sz w:val="22"/>
                <w:szCs w:val="22"/>
                <w:lang w:val="en-US" w:eastAsia="en-US"/>
              </w:rPr>
              <w:t>/ndërkombëtare</w:t>
            </w:r>
          </w:p>
        </w:tc>
        <w:tc>
          <w:tcPr>
            <w:tcW w:w="1530" w:type="dxa"/>
            <w:tcBorders>
              <w:top w:val="nil"/>
              <w:left w:val="nil"/>
              <w:bottom w:val="single" w:sz="4" w:space="0" w:color="auto"/>
              <w:right w:val="single" w:sz="4" w:space="0" w:color="auto"/>
            </w:tcBorders>
            <w:shd w:val="clear" w:color="FFFFFF"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lastRenderedPageBreak/>
              <w:t>MSHMS</w:t>
            </w:r>
          </w:p>
        </w:tc>
      </w:tr>
      <w:tr w:rsidR="00DC0C06" w:rsidRPr="007A2B7D" w:rsidTr="007A2B7D">
        <w:trPr>
          <w:trHeight w:val="127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lastRenderedPageBreak/>
              <w:t>impakti</w:t>
            </w:r>
          </w:p>
        </w:tc>
        <w:tc>
          <w:tcPr>
            <w:tcW w:w="3510" w:type="dxa"/>
            <w:tcBorders>
              <w:top w:val="nil"/>
              <w:left w:val="nil"/>
              <w:bottom w:val="single" w:sz="4" w:space="0" w:color="auto"/>
              <w:right w:val="single" w:sz="4" w:space="0" w:color="auto"/>
            </w:tcBorders>
            <w:shd w:val="clear" w:color="auto" w:fill="auto"/>
            <w:noWrap/>
            <w:vAlign w:val="center"/>
            <w:hideMark/>
          </w:tcPr>
          <w:p w:rsidR="00DC0C06" w:rsidRPr="007A2B7D" w:rsidRDefault="00DC0C06" w:rsidP="00DC0C06">
            <w:pPr>
              <w:jc w:val="both"/>
              <w:rPr>
                <w:rFonts w:eastAsia="Times New Roman"/>
                <w:color w:val="000000"/>
                <w:lang w:val="en-US" w:eastAsia="en-US"/>
              </w:rPr>
            </w:pPr>
            <w:r w:rsidRPr="007A2B7D">
              <w:rPr>
                <w:rFonts w:eastAsia="Symbol"/>
                <w:color w:val="000000"/>
                <w:sz w:val="22"/>
                <w:szCs w:val="22"/>
                <w:lang w:val="en-GB" w:eastAsia="en-US"/>
              </w:rPr>
              <w:t>Numri i rasteve të personave LGBTI+ të diskriminuar</w:t>
            </w:r>
            <w:r w:rsidR="007A2B7D">
              <w:rPr>
                <w:rFonts w:eastAsia="Symbol"/>
                <w:color w:val="000000"/>
                <w:sz w:val="22"/>
                <w:szCs w:val="22"/>
                <w:lang w:val="en-GB" w:eastAsia="en-US"/>
              </w:rPr>
              <w:t xml:space="preserve"> </w:t>
            </w:r>
            <w:r w:rsidRPr="007A2B7D">
              <w:rPr>
                <w:rFonts w:eastAsia="Symbol"/>
                <w:color w:val="000000"/>
                <w:sz w:val="22"/>
                <w:szCs w:val="22"/>
                <w:lang w:val="en-GB" w:eastAsia="en-US"/>
              </w:rPr>
              <w:t>/</w:t>
            </w:r>
            <w:r w:rsidR="007A2B7D">
              <w:rPr>
                <w:rFonts w:eastAsia="Symbol"/>
                <w:color w:val="000000"/>
                <w:sz w:val="22"/>
                <w:szCs w:val="22"/>
                <w:lang w:val="en-GB" w:eastAsia="en-US"/>
              </w:rPr>
              <w:t xml:space="preserve"> </w:t>
            </w:r>
            <w:r w:rsidRPr="007A2B7D">
              <w:rPr>
                <w:rFonts w:eastAsia="Symbol"/>
                <w:color w:val="000000"/>
                <w:sz w:val="22"/>
                <w:szCs w:val="22"/>
                <w:lang w:val="en-GB" w:eastAsia="en-US"/>
              </w:rPr>
              <w:t>abuzuar, të denoncuara dhe trajtuara në përputhje me legjislacionin e përmirësuar në fuqi.</w:t>
            </w:r>
          </w:p>
        </w:tc>
        <w:tc>
          <w:tcPr>
            <w:tcW w:w="1710" w:type="dxa"/>
            <w:tcBorders>
              <w:top w:val="nil"/>
              <w:left w:val="nil"/>
              <w:bottom w:val="single" w:sz="4" w:space="0" w:color="auto"/>
              <w:right w:val="single" w:sz="4" w:space="0" w:color="auto"/>
            </w:tcBorders>
            <w:shd w:val="clear" w:color="FFFF00" w:fill="FFFFFF"/>
            <w:vAlign w:val="center"/>
            <w:hideMark/>
          </w:tcPr>
          <w:p w:rsidR="00DC0C06" w:rsidRPr="007A2B7D" w:rsidRDefault="007A2B7D" w:rsidP="00DC0C06">
            <w:pPr>
              <w:jc w:val="center"/>
              <w:rPr>
                <w:rFonts w:eastAsia="Times New Roman"/>
                <w:color w:val="000000"/>
                <w:lang w:val="en-US" w:eastAsia="en-US"/>
              </w:rPr>
            </w:pPr>
            <w:r>
              <w:rPr>
                <w:rFonts w:eastAsia="Times New Roman"/>
                <w:color w:val="000000"/>
                <w:sz w:val="22"/>
                <w:szCs w:val="22"/>
                <w:lang w:val="en-US" w:eastAsia="en-US"/>
              </w:rPr>
              <w:t>8.QEVERISJA E MIRË, DEMOKRACIA</w:t>
            </w:r>
            <w:r w:rsidR="00DC0C06" w:rsidRPr="007A2B7D">
              <w:rPr>
                <w:rFonts w:eastAsia="Times New Roman"/>
                <w:color w:val="000000"/>
                <w:sz w:val="22"/>
                <w:szCs w:val="22"/>
                <w:lang w:val="en-US" w:eastAsia="en-US"/>
              </w:rPr>
              <w:t>SUNDIMI I LIGJIT</w:t>
            </w:r>
          </w:p>
        </w:tc>
        <w:tc>
          <w:tcPr>
            <w:tcW w:w="207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lang w:val="en-US" w:eastAsia="en-US"/>
              </w:rPr>
            </w:pPr>
            <w:r w:rsidRPr="007A2B7D">
              <w:rPr>
                <w:rFonts w:eastAsia="Times New Roman"/>
                <w:sz w:val="22"/>
                <w:szCs w:val="22"/>
                <w:lang w:val="en-US" w:eastAsia="en-US"/>
              </w:rPr>
              <w:t>8.5 Forcimi i rendit publik</w:t>
            </w:r>
          </w:p>
        </w:tc>
        <w:tc>
          <w:tcPr>
            <w:tcW w:w="1980" w:type="dxa"/>
            <w:tcBorders>
              <w:top w:val="nil"/>
              <w:left w:val="nil"/>
              <w:bottom w:val="single" w:sz="4" w:space="0" w:color="auto"/>
              <w:right w:val="single" w:sz="4" w:space="0" w:color="auto"/>
            </w:tcBorders>
            <w:shd w:val="clear" w:color="FFFF00" w:fill="FFFFFF"/>
            <w:vAlign w:val="center"/>
            <w:hideMark/>
          </w:tcPr>
          <w:p w:rsidR="00DC0C06" w:rsidRPr="007A2B7D" w:rsidRDefault="00E11A69" w:rsidP="00DC0C06">
            <w:pPr>
              <w:jc w:val="center"/>
              <w:rPr>
                <w:rFonts w:eastAsia="Times New Roman"/>
                <w:color w:val="000000"/>
                <w:lang w:val="en-US" w:eastAsia="en-US"/>
              </w:rPr>
            </w:pPr>
            <w:r>
              <w:rPr>
                <w:rFonts w:eastAsia="Times New Roman"/>
                <w:color w:val="000000"/>
                <w:sz w:val="22"/>
                <w:szCs w:val="22"/>
                <w:lang w:val="en-US" w:eastAsia="en-US"/>
              </w:rPr>
              <w:t>Shërbime për ra</w:t>
            </w:r>
            <w:r w:rsidR="00DC0C06" w:rsidRPr="007A2B7D">
              <w:rPr>
                <w:rFonts w:eastAsia="Times New Roman"/>
                <w:color w:val="000000"/>
                <w:sz w:val="22"/>
                <w:szCs w:val="22"/>
                <w:lang w:val="en-US" w:eastAsia="en-US"/>
              </w:rPr>
              <w:t>stet e diskriminuara dhe dhunuara të ofruara në mënyrë shumë-sektoriale të koordinuar</w:t>
            </w:r>
          </w:p>
        </w:tc>
        <w:tc>
          <w:tcPr>
            <w:tcW w:w="2070" w:type="dxa"/>
            <w:tcBorders>
              <w:top w:val="nil"/>
              <w:left w:val="nil"/>
              <w:bottom w:val="single" w:sz="4" w:space="0" w:color="auto"/>
              <w:right w:val="single" w:sz="4" w:space="0" w:color="auto"/>
            </w:tcBorders>
            <w:shd w:val="clear" w:color="FFFF00" w:fill="EBF1DE"/>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 xml:space="preserve">Qëllimi strategjik II. Garantimi i mbrojtjes dhe sigurisë për personat LGBTI+ përmes përmirësimit të kuadrit ligjor, zbatimit efektiv të tij, si dhe rritjes së aksesit të personave LGBTI+ në sistemin e drejtësisë </w:t>
            </w:r>
          </w:p>
        </w:tc>
        <w:tc>
          <w:tcPr>
            <w:tcW w:w="153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MB/PSHSH &amp; MD/Gjykatat</w:t>
            </w:r>
          </w:p>
        </w:tc>
      </w:tr>
      <w:tr w:rsidR="00DC0C06" w:rsidRPr="007A2B7D"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impakti</w:t>
            </w:r>
          </w:p>
        </w:tc>
        <w:tc>
          <w:tcPr>
            <w:tcW w:w="3510" w:type="dxa"/>
            <w:tcBorders>
              <w:top w:val="nil"/>
              <w:left w:val="nil"/>
              <w:bottom w:val="single" w:sz="4" w:space="0" w:color="auto"/>
              <w:right w:val="single" w:sz="4" w:space="0" w:color="auto"/>
            </w:tcBorders>
            <w:shd w:val="clear" w:color="auto" w:fill="auto"/>
            <w:vAlign w:val="center"/>
            <w:hideMark/>
          </w:tcPr>
          <w:p w:rsidR="00DC0C06" w:rsidRPr="007A2B7D" w:rsidRDefault="00DC0C06" w:rsidP="00DC0C06">
            <w:pPr>
              <w:rPr>
                <w:rFonts w:eastAsia="Times New Roman"/>
                <w:color w:val="000000"/>
                <w:lang w:val="en-US" w:eastAsia="en-US"/>
              </w:rPr>
            </w:pPr>
            <w:r w:rsidRPr="007A2B7D">
              <w:rPr>
                <w:rFonts w:eastAsia="Times New Roman"/>
                <w:color w:val="000000"/>
                <w:sz w:val="22"/>
                <w:szCs w:val="22"/>
                <w:lang w:val="en-US" w:eastAsia="en-US"/>
              </w:rPr>
              <w:t>Numri i personave LGBTI+ të cilët ndiehen të pranuar dhe jo të diskriminuar në shoqëri  (përfshirë dhe në fushat e shëndetësisë, arsimit, punësimit, shërbimeve, etj)</w:t>
            </w:r>
          </w:p>
        </w:tc>
        <w:tc>
          <w:tcPr>
            <w:tcW w:w="1710" w:type="dxa"/>
            <w:tcBorders>
              <w:top w:val="nil"/>
              <w:left w:val="nil"/>
              <w:bottom w:val="single" w:sz="4" w:space="0" w:color="auto"/>
              <w:right w:val="single" w:sz="4" w:space="0" w:color="auto"/>
            </w:tcBorders>
            <w:shd w:val="clear" w:color="FFFF00" w:fill="FFFFFF"/>
            <w:vAlign w:val="center"/>
            <w:hideMark/>
          </w:tcPr>
          <w:p w:rsidR="00DC0C06" w:rsidRPr="007A2B7D" w:rsidRDefault="00E11A69" w:rsidP="00DC0C06">
            <w:pPr>
              <w:jc w:val="center"/>
              <w:rPr>
                <w:rFonts w:eastAsia="Times New Roman"/>
                <w:color w:val="000000"/>
                <w:lang w:val="en-US" w:eastAsia="en-US"/>
              </w:rPr>
            </w:pPr>
            <w:r w:rsidRPr="007A2B7D">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DC0C06" w:rsidRPr="007A2B7D" w:rsidRDefault="00E11A69" w:rsidP="00DC0C06">
            <w:pPr>
              <w:jc w:val="center"/>
              <w:rPr>
                <w:rFonts w:eastAsia="Times New Roman"/>
                <w:lang w:val="en-US" w:eastAsia="en-US"/>
              </w:rPr>
            </w:pPr>
            <w:r w:rsidRPr="00E11A69">
              <w:rPr>
                <w:rFonts w:eastAsia="Times New Roman"/>
                <w:sz w:val="22"/>
                <w:szCs w:val="22"/>
                <w:lang w:val="en-US" w:eastAsia="en-US"/>
              </w:rPr>
              <w:t>11.7 Ndërtimi i një shoqërie më gjithëpërfshirëse</w:t>
            </w:r>
          </w:p>
        </w:tc>
        <w:tc>
          <w:tcPr>
            <w:tcW w:w="198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Ndërgjegjësimi i publikut dhe krijimi i një mjedisi pranues për LGBTI+</w:t>
            </w:r>
          </w:p>
        </w:tc>
        <w:tc>
          <w:tcPr>
            <w:tcW w:w="2070" w:type="dxa"/>
            <w:tcBorders>
              <w:top w:val="nil"/>
              <w:left w:val="nil"/>
              <w:bottom w:val="single" w:sz="4" w:space="0" w:color="auto"/>
              <w:right w:val="single" w:sz="4" w:space="0" w:color="auto"/>
            </w:tcBorders>
            <w:shd w:val="clear" w:color="FFFF00" w:fill="EBF1DE"/>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Qëllimi strategjik III: Krijimi i një shoqërie gjithëpërfshirëse, pranuese dhe jo-diskriminuese kundrejt personave LGBTI+ në Shqipëri</w:t>
            </w:r>
          </w:p>
        </w:tc>
        <w:tc>
          <w:tcPr>
            <w:tcW w:w="1530" w:type="dxa"/>
            <w:tcBorders>
              <w:top w:val="nil"/>
              <w:left w:val="nil"/>
              <w:bottom w:val="single" w:sz="4" w:space="0" w:color="auto"/>
              <w:right w:val="single" w:sz="4" w:space="0" w:color="auto"/>
            </w:tcBorders>
            <w:shd w:val="clear" w:color="FFFF00" w:fill="FFFFFF"/>
            <w:vAlign w:val="center"/>
            <w:hideMark/>
          </w:tcPr>
          <w:p w:rsidR="00DC0C06" w:rsidRPr="007A2B7D" w:rsidRDefault="00DC0C06" w:rsidP="00DC0C06">
            <w:pPr>
              <w:jc w:val="center"/>
              <w:rPr>
                <w:rFonts w:eastAsia="Times New Roman"/>
                <w:color w:val="000000"/>
                <w:lang w:val="en-US" w:eastAsia="en-US"/>
              </w:rPr>
            </w:pPr>
            <w:r w:rsidRPr="007A2B7D">
              <w:rPr>
                <w:rFonts w:eastAsia="Times New Roman"/>
                <w:color w:val="000000"/>
                <w:sz w:val="22"/>
                <w:szCs w:val="22"/>
                <w:lang w:val="en-US" w:eastAsia="en-US"/>
              </w:rPr>
              <w:t>MSHMS</w:t>
            </w:r>
          </w:p>
        </w:tc>
      </w:tr>
    </w:tbl>
    <w:p w:rsidR="00DC0C06" w:rsidRDefault="00DC0C06" w:rsidP="00BF02E2">
      <w:pPr>
        <w:spacing w:line="276" w:lineRule="auto"/>
      </w:pPr>
    </w:p>
    <w:p w:rsidR="00DC0C06" w:rsidRDefault="00DC0C06" w:rsidP="00BF02E2">
      <w:pPr>
        <w:spacing w:line="276" w:lineRule="auto"/>
      </w:pPr>
    </w:p>
    <w:p w:rsidR="00562370" w:rsidRDefault="00562370" w:rsidP="00BF02E2">
      <w:pPr>
        <w:spacing w:line="276" w:lineRule="auto"/>
      </w:pPr>
    </w:p>
    <w:p w:rsidR="00C70695" w:rsidRDefault="00C70695" w:rsidP="00BF02E2">
      <w:pPr>
        <w:spacing w:line="276" w:lineRule="auto"/>
      </w:pPr>
    </w:p>
    <w:p w:rsidR="000D354C" w:rsidRDefault="000D354C" w:rsidP="00BF02E2">
      <w:pPr>
        <w:spacing w:line="276" w:lineRule="auto"/>
      </w:pPr>
    </w:p>
    <w:p w:rsidR="002F3CB8" w:rsidRPr="007A2B7D" w:rsidRDefault="002F3CB8" w:rsidP="007A2B7D">
      <w:pPr>
        <w:pStyle w:val="Heading1"/>
        <w:shd w:val="clear" w:color="auto" w:fill="99FFCC"/>
        <w:spacing w:before="0" w:after="0" w:line="276" w:lineRule="auto"/>
        <w:rPr>
          <w:rFonts w:ascii="Times New Roman" w:hAnsi="Times New Roman"/>
          <w:color w:val="FF00FF"/>
          <w:sz w:val="24"/>
          <w:szCs w:val="24"/>
        </w:rPr>
      </w:pPr>
      <w:bookmarkStart w:id="45" w:name="_Toc79509635"/>
      <w:r w:rsidRPr="007A2B7D">
        <w:rPr>
          <w:rFonts w:ascii="Times New Roman" w:hAnsi="Times New Roman"/>
          <w:color w:val="FF00FF"/>
          <w:sz w:val="24"/>
          <w:szCs w:val="24"/>
        </w:rPr>
        <w:lastRenderedPageBreak/>
        <w:t>ANEKS 2. MATRICA E OBJEKTIVAVE SPECIFIKE DHE TREGUESIT</w:t>
      </w:r>
      <w:bookmarkEnd w:id="45"/>
    </w:p>
    <w:p w:rsidR="00893C8A" w:rsidRDefault="00893C8A" w:rsidP="00BE000A"/>
    <w:tbl>
      <w:tblPr>
        <w:tblW w:w="13860" w:type="dxa"/>
        <w:tblInd w:w="-5" w:type="dxa"/>
        <w:tblLayout w:type="fixed"/>
        <w:tblLook w:val="04A0"/>
      </w:tblPr>
      <w:tblGrid>
        <w:gridCol w:w="1080"/>
        <w:gridCol w:w="3510"/>
        <w:gridCol w:w="1710"/>
        <w:gridCol w:w="2070"/>
        <w:gridCol w:w="1980"/>
        <w:gridCol w:w="2070"/>
        <w:gridCol w:w="1440"/>
      </w:tblGrid>
      <w:tr w:rsidR="00893C8A" w:rsidRPr="00CE3C3C" w:rsidTr="007A2B7D">
        <w:trPr>
          <w:trHeight w:val="30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3C8A" w:rsidRPr="00CE3C3C" w:rsidRDefault="00893C8A" w:rsidP="00893C8A">
            <w:pPr>
              <w:jc w:val="center"/>
              <w:rPr>
                <w:rFonts w:eastAsia="Times New Roman"/>
                <w:b/>
                <w:bCs/>
                <w:color w:val="000000"/>
                <w:lang w:val="en-US" w:eastAsia="en-US"/>
              </w:rPr>
            </w:pPr>
            <w:r w:rsidRPr="00CE3C3C">
              <w:rPr>
                <w:rFonts w:eastAsia="Times New Roman"/>
                <w:b/>
                <w:bCs/>
                <w:color w:val="000000"/>
                <w:sz w:val="22"/>
                <w:szCs w:val="22"/>
                <w:lang w:val="en-US" w:eastAsia="en-US"/>
              </w:rPr>
              <w:t>Lloji i treguesit</w:t>
            </w:r>
          </w:p>
        </w:tc>
        <w:tc>
          <w:tcPr>
            <w:tcW w:w="3510"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93C8A" w:rsidRPr="00CE3C3C" w:rsidRDefault="00893C8A" w:rsidP="00893C8A">
            <w:pPr>
              <w:jc w:val="center"/>
              <w:rPr>
                <w:rFonts w:eastAsia="Times New Roman"/>
                <w:b/>
                <w:bCs/>
                <w:color w:val="000000"/>
                <w:lang w:val="en-US" w:eastAsia="en-US"/>
              </w:rPr>
            </w:pPr>
            <w:r w:rsidRPr="00CE3C3C">
              <w:rPr>
                <w:rFonts w:eastAsia="Times New Roman"/>
                <w:b/>
                <w:bCs/>
                <w:color w:val="000000"/>
                <w:sz w:val="22"/>
                <w:szCs w:val="22"/>
                <w:lang w:val="en-US" w:eastAsia="en-US"/>
              </w:rPr>
              <w:t>Emërtimi i Indikatorit</w:t>
            </w:r>
          </w:p>
        </w:tc>
        <w:tc>
          <w:tcPr>
            <w:tcW w:w="171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893C8A" w:rsidRPr="00CE3C3C" w:rsidRDefault="00893C8A" w:rsidP="00B65F4D">
            <w:pPr>
              <w:jc w:val="center"/>
              <w:rPr>
                <w:rFonts w:eastAsia="Times New Roman"/>
                <w:b/>
                <w:bCs/>
                <w:color w:val="000000"/>
                <w:lang w:val="en-US" w:eastAsia="en-US"/>
              </w:rPr>
            </w:pPr>
            <w:r w:rsidRPr="00CE3C3C">
              <w:rPr>
                <w:rFonts w:eastAsia="Times New Roman"/>
                <w:b/>
                <w:bCs/>
                <w:color w:val="000000"/>
                <w:sz w:val="22"/>
                <w:szCs w:val="22"/>
                <w:lang w:val="en-US" w:eastAsia="en-US"/>
              </w:rPr>
              <w:t>Lidhja me Nr e Shtyllës s</w:t>
            </w:r>
            <w:r w:rsidR="00B65F4D">
              <w:rPr>
                <w:rFonts w:eastAsia="Times New Roman"/>
                <w:b/>
                <w:bCs/>
                <w:color w:val="000000"/>
                <w:sz w:val="22"/>
                <w:szCs w:val="22"/>
                <w:lang w:val="en-US" w:eastAsia="en-US"/>
              </w:rPr>
              <w:t>ë</w:t>
            </w:r>
            <w:r w:rsidRPr="00CE3C3C">
              <w:rPr>
                <w:rFonts w:eastAsia="Times New Roman"/>
                <w:b/>
                <w:bCs/>
                <w:color w:val="000000"/>
                <w:sz w:val="22"/>
                <w:szCs w:val="22"/>
                <w:lang w:val="en-US" w:eastAsia="en-US"/>
              </w:rPr>
              <w:t xml:space="preserve"> SKZHI </w:t>
            </w:r>
          </w:p>
        </w:tc>
        <w:tc>
          <w:tcPr>
            <w:tcW w:w="207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893C8A" w:rsidRPr="00CE3C3C" w:rsidRDefault="00893C8A" w:rsidP="00893C8A">
            <w:pPr>
              <w:jc w:val="center"/>
              <w:rPr>
                <w:rFonts w:eastAsia="Times New Roman"/>
                <w:b/>
                <w:bCs/>
                <w:color w:val="000000"/>
                <w:lang w:val="en-US" w:eastAsia="en-US"/>
              </w:rPr>
            </w:pPr>
            <w:r w:rsidRPr="00CE3C3C">
              <w:rPr>
                <w:rFonts w:eastAsia="Times New Roman"/>
                <w:b/>
                <w:bCs/>
                <w:color w:val="000000"/>
                <w:sz w:val="22"/>
                <w:szCs w:val="22"/>
                <w:lang w:val="en-US" w:eastAsia="en-US"/>
              </w:rPr>
              <w:t>Qëllimi/Objektivi Strategjik në SKZHI</w:t>
            </w:r>
          </w:p>
        </w:tc>
        <w:tc>
          <w:tcPr>
            <w:tcW w:w="19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893C8A" w:rsidRPr="00CE3C3C" w:rsidRDefault="00893C8A" w:rsidP="00893C8A">
            <w:pPr>
              <w:jc w:val="center"/>
              <w:rPr>
                <w:rFonts w:eastAsia="Times New Roman"/>
                <w:b/>
                <w:bCs/>
                <w:color w:val="000000"/>
                <w:lang w:val="en-US" w:eastAsia="en-US"/>
              </w:rPr>
            </w:pPr>
            <w:r w:rsidRPr="00CE3C3C">
              <w:rPr>
                <w:rFonts w:eastAsia="Times New Roman"/>
                <w:b/>
                <w:bCs/>
                <w:color w:val="000000"/>
                <w:sz w:val="22"/>
                <w:szCs w:val="22"/>
                <w:lang w:val="en-US" w:eastAsia="en-US"/>
              </w:rPr>
              <w:t>Qëllimi i Politikës</w:t>
            </w:r>
          </w:p>
        </w:tc>
        <w:tc>
          <w:tcPr>
            <w:tcW w:w="207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893C8A" w:rsidRPr="00CE3C3C" w:rsidRDefault="00893C8A" w:rsidP="00893C8A">
            <w:pPr>
              <w:jc w:val="center"/>
              <w:rPr>
                <w:rFonts w:eastAsia="Times New Roman"/>
                <w:b/>
                <w:bCs/>
                <w:color w:val="000000"/>
                <w:lang w:val="en-US" w:eastAsia="en-US"/>
              </w:rPr>
            </w:pPr>
            <w:r w:rsidRPr="00CE3C3C">
              <w:rPr>
                <w:rFonts w:eastAsia="Times New Roman"/>
                <w:b/>
                <w:bCs/>
                <w:color w:val="000000"/>
                <w:sz w:val="22"/>
                <w:szCs w:val="22"/>
                <w:lang w:val="en-US" w:eastAsia="en-US"/>
              </w:rPr>
              <w:t xml:space="preserve">Objektivi Specifik me të cilin lidhet indikatori/treguesi  </w:t>
            </w:r>
          </w:p>
        </w:tc>
        <w:tc>
          <w:tcPr>
            <w:tcW w:w="14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893C8A" w:rsidRPr="00CE3C3C" w:rsidRDefault="00893C8A" w:rsidP="00893C8A">
            <w:pPr>
              <w:jc w:val="center"/>
              <w:rPr>
                <w:rFonts w:eastAsia="Times New Roman"/>
                <w:b/>
                <w:bCs/>
                <w:color w:val="000000"/>
                <w:lang w:val="en-US" w:eastAsia="en-US"/>
              </w:rPr>
            </w:pPr>
            <w:r w:rsidRPr="00CE3C3C">
              <w:rPr>
                <w:rFonts w:eastAsia="Times New Roman"/>
                <w:b/>
                <w:bCs/>
                <w:color w:val="000000"/>
                <w:sz w:val="22"/>
                <w:szCs w:val="22"/>
                <w:lang w:val="en-US" w:eastAsia="en-US"/>
              </w:rPr>
              <w:t>Burimi i të dhënave për monitorimin e treguesit të performancës</w:t>
            </w:r>
          </w:p>
        </w:tc>
      </w:tr>
      <w:tr w:rsidR="00893C8A" w:rsidRPr="00CE3C3C" w:rsidTr="007A2B7D">
        <w:trPr>
          <w:trHeight w:val="30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3C8A" w:rsidRPr="00CE3C3C" w:rsidRDefault="00893C8A" w:rsidP="00893C8A">
            <w:pPr>
              <w:rPr>
                <w:rFonts w:eastAsia="Times New Roman"/>
                <w:b/>
                <w:bCs/>
                <w:color w:val="000000"/>
                <w:lang w:val="en-US" w:eastAsia="en-US"/>
              </w:rPr>
            </w:pP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000000" w:fill="FFFFFF"/>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 xml:space="preserve"> I.1.a. Numri i shërbimeve mbështetëse të specializuara me standarde të përmirësuara e të përshtatura për trajtimin në mënyrën e duhur të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7A2B7D" w:rsidP="00893C8A">
            <w:pPr>
              <w:jc w:val="center"/>
              <w:rPr>
                <w:rFonts w:eastAsia="Times New Roman"/>
                <w:lang w:val="en-US" w:eastAsia="en-US"/>
              </w:rPr>
            </w:pPr>
            <w:r w:rsidRPr="00CE3C3C">
              <w:rPr>
                <w:rFonts w:eastAsia="Times New Roman"/>
                <w:sz w:val="22"/>
                <w:szCs w:val="22"/>
                <w:lang w:val="en-US" w:eastAsia="en-US"/>
              </w:rPr>
              <w:t>11.6. Konsolidimi i mbrojtjes shoqërore</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7A2B7D" w:rsidP="00893C8A">
            <w:pPr>
              <w:jc w:val="center"/>
              <w:rPr>
                <w:rFonts w:eastAsia="Times New Roman"/>
                <w:color w:val="000000"/>
                <w:lang w:val="en-US" w:eastAsia="en-US"/>
              </w:rPr>
            </w:pPr>
            <w:r w:rsidRPr="00CE3C3C">
              <w:rPr>
                <w:rFonts w:eastAsia="Times New Roman"/>
                <w:color w:val="000000"/>
                <w:sz w:val="22"/>
                <w:szCs w:val="22"/>
                <w:lang w:val="en-US" w:eastAsia="en-US"/>
              </w:rPr>
              <w:t>Aksesueshmëria në shërbime mbështetëse të specializuara sipas standardeve</w:t>
            </w:r>
          </w:p>
        </w:tc>
        <w:tc>
          <w:tcPr>
            <w:tcW w:w="2070" w:type="dxa"/>
            <w:tcBorders>
              <w:top w:val="nil"/>
              <w:left w:val="nil"/>
              <w:bottom w:val="single" w:sz="4" w:space="0" w:color="auto"/>
              <w:right w:val="single" w:sz="4" w:space="0" w:color="auto"/>
            </w:tcBorders>
            <w:shd w:val="clear" w:color="FFFFFF"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w:t>
            </w:r>
            <w:r w:rsidR="00CB2FC5" w:rsidRPr="00CE3C3C">
              <w:rPr>
                <w:rFonts w:eastAsia="Times New Roman"/>
                <w:color w:val="000000"/>
                <w:sz w:val="22"/>
                <w:szCs w:val="22"/>
                <w:lang w:val="en-US" w:eastAsia="en-US"/>
              </w:rPr>
              <w:t>v</w:t>
            </w:r>
            <w:r w:rsidRPr="00CE3C3C">
              <w:rPr>
                <w:rFonts w:eastAsia="Times New Roman"/>
                <w:color w:val="000000"/>
                <w:sz w:val="22"/>
                <w:szCs w:val="22"/>
                <w:lang w:val="en-US" w:eastAsia="en-US"/>
              </w:rPr>
              <w:t>i specifik I.1. Ofrimi i shërbimeve të përkujdesit shoqëror cilësore dhe miqësore ndaj personave LGBTI+</w:t>
            </w:r>
          </w:p>
        </w:tc>
        <w:tc>
          <w:tcPr>
            <w:tcW w:w="1440" w:type="dxa"/>
            <w:tcBorders>
              <w:top w:val="nil"/>
              <w:left w:val="nil"/>
              <w:bottom w:val="single" w:sz="4" w:space="0" w:color="auto"/>
              <w:right w:val="single" w:sz="4" w:space="0" w:color="auto"/>
            </w:tcBorders>
            <w:shd w:val="clear" w:color="FFFFFF" w:fill="FFFFFF"/>
            <w:vAlign w:val="center"/>
            <w:hideMark/>
          </w:tcPr>
          <w:p w:rsidR="00893C8A" w:rsidRPr="00CE3C3C" w:rsidRDefault="007A2B7D" w:rsidP="00893C8A">
            <w:pPr>
              <w:jc w:val="center"/>
              <w:rPr>
                <w:rFonts w:eastAsia="Times New Roman"/>
                <w:color w:val="000000"/>
                <w:lang w:val="en-US" w:eastAsia="en-US"/>
              </w:rPr>
            </w:pPr>
            <w:r w:rsidRPr="00CE3C3C">
              <w:rPr>
                <w:rFonts w:eastAsia="Times New Roman"/>
                <w:color w:val="000000"/>
                <w:sz w:val="22"/>
                <w:szCs w:val="22"/>
                <w:lang w:val="en-US" w:eastAsia="en-US"/>
              </w:rPr>
              <w:t>MSHMS</w:t>
            </w: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 xml:space="preserve">I.1.b. Përqindja e buxhetit të shtetit alokuar për funksionimin e shërbimeve mbështetëse të specializuara të dedikuara për personat LGBTI+, ose që ofrojnë shërbime miqësore ndaj tyre. </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7A2B7D" w:rsidP="00893C8A">
            <w:pPr>
              <w:jc w:val="center"/>
              <w:rPr>
                <w:rFonts w:eastAsia="Times New Roman"/>
                <w:lang w:val="en-US" w:eastAsia="en-US"/>
              </w:rPr>
            </w:pPr>
            <w:r w:rsidRPr="00CE3C3C">
              <w:rPr>
                <w:rFonts w:eastAsia="Times New Roman"/>
                <w:sz w:val="22"/>
                <w:szCs w:val="22"/>
                <w:lang w:val="en-US" w:eastAsia="en-US"/>
              </w:rPr>
              <w:t>11.6. Konsolidimi i mbrojtjes shoqërore</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7A2B7D" w:rsidP="00893C8A">
            <w:pPr>
              <w:jc w:val="center"/>
              <w:rPr>
                <w:rFonts w:eastAsia="Times New Roman"/>
                <w:color w:val="000000"/>
                <w:lang w:val="en-US" w:eastAsia="en-US"/>
              </w:rPr>
            </w:pPr>
            <w:r w:rsidRPr="00CE3C3C">
              <w:rPr>
                <w:rFonts w:eastAsia="Times New Roman"/>
                <w:color w:val="000000"/>
                <w:sz w:val="22"/>
                <w:szCs w:val="22"/>
                <w:lang w:val="en-US" w:eastAsia="en-US"/>
              </w:rPr>
              <w:t>Aksesueshmëria në shërbime mbështetëse të specializuara sipas standardeve</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w:t>
            </w:r>
            <w:r w:rsidR="00CB2FC5" w:rsidRPr="00CE3C3C">
              <w:rPr>
                <w:rFonts w:eastAsia="Times New Roman"/>
                <w:color w:val="000000"/>
                <w:sz w:val="22"/>
                <w:szCs w:val="22"/>
                <w:lang w:val="en-US" w:eastAsia="en-US"/>
              </w:rPr>
              <w:t>v</w:t>
            </w:r>
            <w:r w:rsidRPr="00CE3C3C">
              <w:rPr>
                <w:rFonts w:eastAsia="Times New Roman"/>
                <w:color w:val="000000"/>
                <w:sz w:val="22"/>
                <w:szCs w:val="22"/>
                <w:lang w:val="en-US" w:eastAsia="en-US"/>
              </w:rPr>
              <w:t>i specifik I.1. Ofrimi i shërbimeve të përkujdesit shoqëror cilësore dhe miqësore ndaj personave LGBTI+</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MSHMS</w:t>
            </w:r>
          </w:p>
        </w:tc>
      </w:tr>
      <w:tr w:rsidR="00893C8A" w:rsidRPr="00CE3C3C" w:rsidTr="007A2B7D">
        <w:trPr>
          <w:trHeight w:val="127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 xml:space="preserve">I.2.a. Numri i fëmijëve, adoleshentëve dhe studentëve LGBTI+ të diskriminuar apo dhunuar, të cilët raportojnë për situatën e tyre në institucionet arsimore dhe mbështeten e trajtohen  me prioritet e sipas standardeve nga profesionistet dhe profesionistët e fushës së arsimit. </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t>11.1. Më shumë mundësi dhe më shumnë cilësi në arsim</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Sisteme arsimore jo diskriminuese që mbrojnë të drejtat e njeriut</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Objektivi specifik I.2:</w:t>
            </w:r>
            <w:r w:rsidR="00B65F4D">
              <w:rPr>
                <w:rFonts w:eastAsia="Times New Roman"/>
                <w:color w:val="000000"/>
                <w:sz w:val="22"/>
                <w:szCs w:val="22"/>
                <w:lang w:val="en-US" w:eastAsia="en-US"/>
              </w:rPr>
              <w:t xml:space="preserve"> </w:t>
            </w:r>
            <w:r w:rsidRPr="00CE3C3C">
              <w:rPr>
                <w:rFonts w:eastAsia="Times New Roman"/>
                <w:color w:val="000000"/>
                <w:sz w:val="22"/>
                <w:szCs w:val="22"/>
                <w:lang w:val="en-US" w:eastAsia="en-US"/>
              </w:rPr>
              <w:t>Zvogëlimi i pabarazive dhe diskriminimit të personave LGBTI+ në arsim</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MASR</w:t>
            </w:r>
          </w:p>
        </w:tc>
      </w:tr>
      <w:tr w:rsidR="00893C8A" w:rsidRPr="00CE3C3C" w:rsidTr="00CE3C3C">
        <w:trPr>
          <w:trHeight w:val="6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 xml:space="preserve">I.3.a.  Numri i punonjëseve dhe punonjësve të kujdesit shëndetësor parësor të trajnuar  për ofrimin e shërbimeve shëndetësore miqësore, </w:t>
            </w:r>
            <w:r w:rsidRPr="00CE3C3C">
              <w:rPr>
                <w:rFonts w:eastAsia="Times New Roman"/>
                <w:color w:val="000000"/>
                <w:sz w:val="22"/>
                <w:szCs w:val="22"/>
                <w:lang w:val="en-US" w:eastAsia="en-US"/>
              </w:rPr>
              <w:lastRenderedPageBreak/>
              <w:t>cilësore dhe sipas standardeve për personat LGBTI+</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 xml:space="preserve">3. INVESTIMI NË KAPITAL NJERËZOR DHE </w:t>
            </w:r>
            <w:r w:rsidRPr="00CE3C3C">
              <w:rPr>
                <w:rFonts w:eastAsia="Times New Roman"/>
                <w:color w:val="000000"/>
                <w:sz w:val="22"/>
                <w:szCs w:val="22"/>
                <w:lang w:val="en-US" w:eastAsia="en-US"/>
              </w:rPr>
              <w:lastRenderedPageBreak/>
              <w:t>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lastRenderedPageBreak/>
              <w:t>11.2. Nj</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sistem i kujdesit sh</w:t>
            </w:r>
            <w:r w:rsidR="008551B5" w:rsidRPr="00CE3C3C">
              <w:rPr>
                <w:rFonts w:eastAsia="Times New Roman"/>
                <w:sz w:val="22"/>
                <w:szCs w:val="22"/>
                <w:lang w:val="en-US" w:eastAsia="en-US"/>
              </w:rPr>
              <w:t>ë</w:t>
            </w:r>
            <w:r w:rsidRPr="00CE3C3C">
              <w:rPr>
                <w:rFonts w:eastAsia="Times New Roman"/>
                <w:sz w:val="22"/>
                <w:szCs w:val="22"/>
                <w:lang w:val="en-US" w:eastAsia="en-US"/>
              </w:rPr>
              <w:t>ndet</w:t>
            </w:r>
            <w:r w:rsidR="008551B5" w:rsidRPr="00CE3C3C">
              <w:rPr>
                <w:rFonts w:eastAsia="Times New Roman"/>
                <w:sz w:val="22"/>
                <w:szCs w:val="22"/>
                <w:lang w:val="en-US" w:eastAsia="en-US"/>
              </w:rPr>
              <w:t>ë</w:t>
            </w:r>
            <w:r w:rsidRPr="00CE3C3C">
              <w:rPr>
                <w:rFonts w:eastAsia="Times New Roman"/>
                <w:sz w:val="22"/>
                <w:szCs w:val="22"/>
                <w:lang w:val="en-US" w:eastAsia="en-US"/>
              </w:rPr>
              <w:t>sor m</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i fort</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dhe m</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i aksesuesh</w:t>
            </w:r>
            <w:r w:rsidR="008551B5" w:rsidRPr="00CE3C3C">
              <w:rPr>
                <w:rFonts w:eastAsia="Times New Roman"/>
                <w:sz w:val="22"/>
                <w:szCs w:val="22"/>
                <w:lang w:val="en-US" w:eastAsia="en-US"/>
              </w:rPr>
              <w:t>ë</w:t>
            </w:r>
            <w:r w:rsidRPr="00CE3C3C">
              <w:rPr>
                <w:rFonts w:eastAsia="Times New Roman"/>
                <w:sz w:val="22"/>
                <w:szCs w:val="22"/>
                <w:lang w:val="en-US" w:eastAsia="en-US"/>
              </w:rPr>
              <w:t>m</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Kuj</w:t>
            </w:r>
            <w:r w:rsidR="00CE3C3C" w:rsidRPr="00CE3C3C">
              <w:rPr>
                <w:rFonts w:eastAsia="Times New Roman"/>
                <w:color w:val="000000"/>
                <w:sz w:val="22"/>
                <w:szCs w:val="22"/>
                <w:lang w:val="en-US" w:eastAsia="en-US"/>
              </w:rPr>
              <w:t>d</w:t>
            </w:r>
            <w:r w:rsidRPr="00CE3C3C">
              <w:rPr>
                <w:rFonts w:eastAsia="Times New Roman"/>
                <w:color w:val="000000"/>
                <w:sz w:val="22"/>
                <w:szCs w:val="22"/>
                <w:lang w:val="en-US" w:eastAsia="en-US"/>
              </w:rPr>
              <w:t>es sh</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ndet</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sor universal cil</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sor dhe n</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 xml:space="preserve"> koh</w:t>
            </w:r>
            <w:r w:rsidR="008551B5" w:rsidRPr="00CE3C3C">
              <w:rPr>
                <w:rFonts w:eastAsia="Times New Roman"/>
                <w:color w:val="000000"/>
                <w:sz w:val="22"/>
                <w:szCs w:val="22"/>
                <w:lang w:val="en-US" w:eastAsia="en-US"/>
              </w:rPr>
              <w:t>ë</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 xml:space="preserve">Objektivi specifik I.3. Garantimi i aksesit për  personat LGBTI+ në </w:t>
            </w:r>
            <w:r w:rsidRPr="00CE3C3C">
              <w:rPr>
                <w:rFonts w:eastAsia="Times New Roman"/>
                <w:color w:val="000000"/>
                <w:sz w:val="22"/>
                <w:szCs w:val="22"/>
                <w:lang w:val="en-US" w:eastAsia="en-US"/>
              </w:rPr>
              <w:lastRenderedPageBreak/>
              <w:t>shërbimet e kujdesit shëndetësor, në të gjithë vendin.</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MSHMS</w:t>
            </w: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I.3.b.  Numri i mjeteve të unifikuara (protokolle) për trajtimin sipas standardeve të personave transgjinorë dhe interseks</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t>11.2. Nj</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sistem i kujdesit sh</w:t>
            </w:r>
            <w:r w:rsidR="008551B5" w:rsidRPr="00CE3C3C">
              <w:rPr>
                <w:rFonts w:eastAsia="Times New Roman"/>
                <w:sz w:val="22"/>
                <w:szCs w:val="22"/>
                <w:lang w:val="en-US" w:eastAsia="en-US"/>
              </w:rPr>
              <w:t>ë</w:t>
            </w:r>
            <w:r w:rsidRPr="00CE3C3C">
              <w:rPr>
                <w:rFonts w:eastAsia="Times New Roman"/>
                <w:sz w:val="22"/>
                <w:szCs w:val="22"/>
                <w:lang w:val="en-US" w:eastAsia="en-US"/>
              </w:rPr>
              <w:t>ndet</w:t>
            </w:r>
            <w:r w:rsidR="008551B5" w:rsidRPr="00CE3C3C">
              <w:rPr>
                <w:rFonts w:eastAsia="Times New Roman"/>
                <w:sz w:val="22"/>
                <w:szCs w:val="22"/>
                <w:lang w:val="en-US" w:eastAsia="en-US"/>
              </w:rPr>
              <w:t>ë</w:t>
            </w:r>
            <w:r w:rsidRPr="00CE3C3C">
              <w:rPr>
                <w:rFonts w:eastAsia="Times New Roman"/>
                <w:sz w:val="22"/>
                <w:szCs w:val="22"/>
                <w:lang w:val="en-US" w:eastAsia="en-US"/>
              </w:rPr>
              <w:t>sor m</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i fort</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dhe m</w:t>
            </w:r>
            <w:r w:rsidR="008551B5" w:rsidRPr="00CE3C3C">
              <w:rPr>
                <w:rFonts w:eastAsia="Times New Roman"/>
                <w:sz w:val="22"/>
                <w:szCs w:val="22"/>
                <w:lang w:val="en-US" w:eastAsia="en-US"/>
              </w:rPr>
              <w:t>ë</w:t>
            </w:r>
            <w:r w:rsidRPr="00CE3C3C">
              <w:rPr>
                <w:rFonts w:eastAsia="Times New Roman"/>
                <w:sz w:val="22"/>
                <w:szCs w:val="22"/>
                <w:lang w:val="en-US" w:eastAsia="en-US"/>
              </w:rPr>
              <w:t xml:space="preserve"> i aksesuesh</w:t>
            </w:r>
            <w:r w:rsidR="008551B5" w:rsidRPr="00CE3C3C">
              <w:rPr>
                <w:rFonts w:eastAsia="Times New Roman"/>
                <w:sz w:val="22"/>
                <w:szCs w:val="22"/>
                <w:lang w:val="en-US" w:eastAsia="en-US"/>
              </w:rPr>
              <w:t>ë</w:t>
            </w:r>
            <w:r w:rsidRPr="00CE3C3C">
              <w:rPr>
                <w:rFonts w:eastAsia="Times New Roman"/>
                <w:sz w:val="22"/>
                <w:szCs w:val="22"/>
                <w:lang w:val="en-US" w:eastAsia="en-US"/>
              </w:rPr>
              <w:t>m</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Kuj</w:t>
            </w:r>
            <w:r w:rsidR="00CE3C3C">
              <w:rPr>
                <w:rFonts w:eastAsia="Times New Roman"/>
                <w:color w:val="000000"/>
                <w:sz w:val="22"/>
                <w:szCs w:val="22"/>
                <w:lang w:val="en-US" w:eastAsia="en-US"/>
              </w:rPr>
              <w:t>d</w:t>
            </w:r>
            <w:r w:rsidRPr="00CE3C3C">
              <w:rPr>
                <w:rFonts w:eastAsia="Times New Roman"/>
                <w:color w:val="000000"/>
                <w:sz w:val="22"/>
                <w:szCs w:val="22"/>
                <w:lang w:val="en-US" w:eastAsia="en-US"/>
              </w:rPr>
              <w:t>es sh</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ndet</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sor universal cil</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sor dhe n</w:t>
            </w:r>
            <w:r w:rsidR="008551B5" w:rsidRPr="00CE3C3C">
              <w:rPr>
                <w:rFonts w:eastAsia="Times New Roman"/>
                <w:color w:val="000000"/>
                <w:sz w:val="22"/>
                <w:szCs w:val="22"/>
                <w:lang w:val="en-US" w:eastAsia="en-US"/>
              </w:rPr>
              <w:t>ë</w:t>
            </w:r>
            <w:r w:rsidRPr="00CE3C3C">
              <w:rPr>
                <w:rFonts w:eastAsia="Times New Roman"/>
                <w:color w:val="000000"/>
                <w:sz w:val="22"/>
                <w:szCs w:val="22"/>
                <w:lang w:val="en-US" w:eastAsia="en-US"/>
              </w:rPr>
              <w:t xml:space="preserve"> koh</w:t>
            </w:r>
            <w:r w:rsidR="008551B5" w:rsidRPr="00CE3C3C">
              <w:rPr>
                <w:rFonts w:eastAsia="Times New Roman"/>
                <w:color w:val="000000"/>
                <w:sz w:val="22"/>
                <w:szCs w:val="22"/>
                <w:lang w:val="en-US" w:eastAsia="en-US"/>
              </w:rPr>
              <w:t>ë</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Objektivi specifik I.3. Garantimi i aksesit për  personat LGBTI+ në shërbimet e kujdesit shëndetësor, në të gjithë vendin.</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MSHMS</w:t>
            </w: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I.4.a. Numri i punonjëseve dhe punonjësve të shërbimeve në fushën e punësimit të trajnuar dhe përgatitur për ofrimin e shërbimeve të punësimit në mënyrë jo-diskriminuese për personat LGBTI+</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t>11.3. Shtimi i mundësive të punësimit</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Shërbime punësimi miqësore e profesionale</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Objektivi specifik I.4. Zvogëlimi i barrierave që i mbajnë personat  LGBTI+ larg tregut të punës si dhe rritja e aksesit të tyre për punë të denjë edhe në sektorët jo-tradicionalë të punësimit, (në veçanti në shkencë, teknologji, inxhinieri, matematikë).</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MFE</w:t>
            </w: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I.4.b. Numri i personave LGBTI+ të subvencionuar për zhvillimin e ideve inovatore me fokus tek dixhitalizimi dhe ekonomia mjedisore</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t>11.3. Shtimi i mundësive të punësimit</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Shërbime punësimi miqësore e profesionale</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 xml:space="preserve">Objektivi specifik I.4. Zvogëlimi i barrierave që i mbajnë personat  LGBTI+ larg tregut të punës si dhe rritja e aksesit të tyre për punë të denjë edhe në sektorët jo-tradicionalë të </w:t>
            </w:r>
            <w:r w:rsidRPr="00CE3C3C">
              <w:rPr>
                <w:rFonts w:eastAsia="Times New Roman"/>
                <w:color w:val="000000"/>
                <w:sz w:val="22"/>
                <w:szCs w:val="22"/>
                <w:lang w:val="en-US" w:eastAsia="en-US"/>
              </w:rPr>
              <w:lastRenderedPageBreak/>
              <w:t>punësimit, (në veçanti në shkencë, teknologji, inxhinieri, matematikë).</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MFE &amp; AIDA&amp;Bashkia</w:t>
            </w:r>
          </w:p>
        </w:tc>
      </w:tr>
      <w:tr w:rsidR="00893C8A" w:rsidRPr="00CE3C3C" w:rsidTr="007A2B7D">
        <w:trPr>
          <w:trHeight w:val="153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II.1.a. Numri i propozimeve të dërguara dhe miratuara në lidhje me ndryshimet në legjislacionin civil dhe penal në RSH</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144C57" w:rsidP="00893C8A">
            <w:pPr>
              <w:jc w:val="center"/>
              <w:rPr>
                <w:rFonts w:eastAsia="Times New Roman"/>
                <w:color w:val="000000"/>
                <w:lang w:val="en-US" w:eastAsia="en-US"/>
              </w:rPr>
            </w:pPr>
            <w:r w:rsidRPr="00144C57">
              <w:rPr>
                <w:rFonts w:eastAsia="Times New Roman"/>
                <w:color w:val="000000"/>
                <w:sz w:val="22"/>
                <w:szCs w:val="22"/>
                <w:lang w:val="en-US" w:eastAsia="en-US"/>
              </w:rPr>
              <w:t>8.QEVERISJA E MIRË, DEMOKRACIA, SUNDIMI I LIGJIT</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t>8.6. Forcimi i të drejtave të njeriut</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Përafrimi dhe harmonizimi i kuadrit ligjor</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Objektivi specifik II.1. Përforcimi i mbrojtjes ligjore për personat LGBTIQ kundër krimit të urrejtjes, gjuhës së urrejtjes dhe dhunës, nëpërmjet rishikimit dhe harmonizimit të legjilslacionit kombëtar me standardet evropiane/ndërkombëtare</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Të gjitha ministritë që kanë përgjegjësi zbatimin e ligjeve të ndryshuara dhe MD</w:t>
            </w: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 xml:space="preserve">II.2.a. Numri i raporteve vjetore të përpiluara dhe dorëzuara në Këshillin e Evropës, mbi diskriminimin dhe krimet e urrejtjes kundër personave LGBTI+  </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144C57" w:rsidP="00893C8A">
            <w:pPr>
              <w:jc w:val="center"/>
              <w:rPr>
                <w:rFonts w:eastAsia="Times New Roman"/>
                <w:color w:val="000000"/>
                <w:lang w:val="en-US" w:eastAsia="en-US"/>
              </w:rPr>
            </w:pPr>
            <w:r w:rsidRPr="00144C57">
              <w:rPr>
                <w:rFonts w:eastAsia="Times New Roman"/>
                <w:color w:val="000000"/>
                <w:sz w:val="22"/>
                <w:szCs w:val="22"/>
                <w:lang w:val="en-US" w:eastAsia="en-US"/>
              </w:rPr>
              <w:t>8.QEVERISJA E MIRË, DEMOKRACIA, SUNDIMI I LIGJIT</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lang w:val="en-US" w:eastAsia="en-US"/>
              </w:rPr>
            </w:pPr>
            <w:r w:rsidRPr="00CE3C3C">
              <w:rPr>
                <w:rFonts w:eastAsia="Times New Roman"/>
                <w:sz w:val="22"/>
                <w:szCs w:val="22"/>
                <w:lang w:val="en-US" w:eastAsia="en-US"/>
              </w:rPr>
              <w:t>8.6. Forcimi i të drejtave të njeriut</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Fuqizimi i mekanizmave monitorues për të drejtat e njeriut</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 xml:space="preserve">Objektivi specifik II.2. Zbatimi me profesionalizem dhe pa paragjykime i legjislacionit për të luftuar diskriminimin dhe krimin e urrejtjes ndaj personave LGBTI+. </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 xml:space="preserve">KMD </w:t>
            </w:r>
          </w:p>
        </w:tc>
      </w:tr>
      <w:tr w:rsidR="00893C8A" w:rsidRPr="00CE3C3C" w:rsidTr="00CE3C3C">
        <w:trPr>
          <w:trHeight w:val="53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III.1.a. Numri i të rejave e të rinjve që pranojnë dhe nuk diskriminojnë personat LGBTI+ në Shqipëri</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6C4228" w:rsidP="00893C8A">
            <w:pPr>
              <w:jc w:val="center"/>
              <w:rPr>
                <w:rFonts w:eastAsia="Times New Roman"/>
                <w:lang w:val="en-US" w:eastAsia="en-US"/>
              </w:rPr>
            </w:pPr>
            <w:r w:rsidRPr="006C4228">
              <w:rPr>
                <w:rFonts w:eastAsia="Times New Roman"/>
                <w:sz w:val="22"/>
                <w:szCs w:val="22"/>
                <w:lang w:val="en-US" w:eastAsia="en-US"/>
              </w:rPr>
              <w:t>11.7 Ndërtimi i një shoqërie më gjithëpërfshirëse</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Ndërgjegjësimi i publikut dhe krijimi i një mjedisi pranues për LGBTI+</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 xml:space="preserve">Objektivi specifik III:.1. Edukimi i shoqërisë me parimet e barazisë, gjithëpërfshirjes dhe mosdiskriminimit </w:t>
            </w:r>
            <w:r w:rsidRPr="00CE3C3C">
              <w:rPr>
                <w:rFonts w:eastAsia="Times New Roman"/>
                <w:color w:val="000000"/>
                <w:sz w:val="22"/>
                <w:szCs w:val="22"/>
                <w:lang w:val="en-US" w:eastAsia="en-US"/>
              </w:rPr>
              <w:lastRenderedPageBreak/>
              <w:t>kundrejt personave LGBTI+</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MSHMS</w:t>
            </w:r>
          </w:p>
        </w:tc>
      </w:tr>
      <w:tr w:rsidR="00893C8A" w:rsidRPr="00CE3C3C" w:rsidTr="007A2B7D">
        <w:trPr>
          <w:trHeight w:val="102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lastRenderedPageBreak/>
              <w:t>rezultati</w:t>
            </w:r>
          </w:p>
        </w:tc>
        <w:tc>
          <w:tcPr>
            <w:tcW w:w="3510" w:type="dxa"/>
            <w:tcBorders>
              <w:top w:val="nil"/>
              <w:left w:val="nil"/>
              <w:bottom w:val="single" w:sz="4" w:space="0" w:color="auto"/>
              <w:right w:val="single" w:sz="4" w:space="0" w:color="auto"/>
            </w:tcBorders>
            <w:shd w:val="clear" w:color="auto" w:fill="auto"/>
            <w:vAlign w:val="center"/>
            <w:hideMark/>
          </w:tcPr>
          <w:p w:rsidR="00893C8A" w:rsidRPr="00CE3C3C" w:rsidRDefault="00893C8A" w:rsidP="00B65F4D">
            <w:pPr>
              <w:jc w:val="both"/>
              <w:rPr>
                <w:rFonts w:eastAsia="Times New Roman"/>
                <w:color w:val="000000"/>
                <w:lang w:val="en-US" w:eastAsia="en-US"/>
              </w:rPr>
            </w:pPr>
            <w:r w:rsidRPr="00CE3C3C">
              <w:rPr>
                <w:rFonts w:eastAsia="Times New Roman"/>
                <w:color w:val="000000"/>
                <w:sz w:val="22"/>
                <w:szCs w:val="22"/>
                <w:lang w:val="en-US" w:eastAsia="en-US"/>
              </w:rPr>
              <w:t>III.2.a.Numri i ndërmarrjeve / kompanive / bizneseve që bashkohen me Kartën Kombëtare të Diversitetit .</w:t>
            </w:r>
          </w:p>
        </w:tc>
        <w:tc>
          <w:tcPr>
            <w:tcW w:w="171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3. INVESTIMI NË KAPITAL NJERËZOR DHE KOHEZION SOCIAL</w:t>
            </w:r>
          </w:p>
        </w:tc>
        <w:tc>
          <w:tcPr>
            <w:tcW w:w="2070" w:type="dxa"/>
            <w:tcBorders>
              <w:top w:val="nil"/>
              <w:left w:val="nil"/>
              <w:bottom w:val="single" w:sz="4" w:space="0" w:color="auto"/>
              <w:right w:val="single" w:sz="4" w:space="0" w:color="auto"/>
            </w:tcBorders>
            <w:shd w:val="clear" w:color="FFFF00" w:fill="FFFFFF"/>
            <w:vAlign w:val="center"/>
            <w:hideMark/>
          </w:tcPr>
          <w:p w:rsidR="00893C8A" w:rsidRPr="00CE3C3C" w:rsidRDefault="006C4228" w:rsidP="00893C8A">
            <w:pPr>
              <w:jc w:val="center"/>
              <w:rPr>
                <w:rFonts w:eastAsia="Times New Roman"/>
                <w:lang w:val="en-US" w:eastAsia="en-US"/>
              </w:rPr>
            </w:pPr>
            <w:r w:rsidRPr="006C4228">
              <w:rPr>
                <w:rFonts w:eastAsia="Times New Roman"/>
                <w:sz w:val="22"/>
                <w:szCs w:val="22"/>
                <w:lang w:val="en-US" w:eastAsia="en-US"/>
              </w:rPr>
              <w:t>11.7 Ndërtimi i një shoqërie më gjithëpërfshirëse</w:t>
            </w:r>
          </w:p>
        </w:tc>
        <w:tc>
          <w:tcPr>
            <w:tcW w:w="198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Punëdhënës më të ndjeshëm dhe jo-diskriminues</w:t>
            </w:r>
          </w:p>
        </w:tc>
        <w:tc>
          <w:tcPr>
            <w:tcW w:w="2070" w:type="dxa"/>
            <w:tcBorders>
              <w:top w:val="nil"/>
              <w:left w:val="nil"/>
              <w:bottom w:val="single" w:sz="4" w:space="0" w:color="auto"/>
              <w:right w:val="single" w:sz="4" w:space="0" w:color="auto"/>
            </w:tcBorders>
            <w:shd w:val="clear" w:color="FFFF00" w:fill="EBF1DE"/>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Objektivi specifik III.2.Përmirësimi i ndërgjegjësimit për çështjet LGBTI+ midis punëdhënësve publikë e privatë.</w:t>
            </w:r>
          </w:p>
        </w:tc>
        <w:tc>
          <w:tcPr>
            <w:tcW w:w="1440" w:type="dxa"/>
            <w:tcBorders>
              <w:top w:val="nil"/>
              <w:left w:val="nil"/>
              <w:bottom w:val="single" w:sz="4" w:space="0" w:color="auto"/>
              <w:right w:val="single" w:sz="4" w:space="0" w:color="auto"/>
            </w:tcBorders>
            <w:shd w:val="clear" w:color="FFFF00" w:fill="FFFFFF"/>
            <w:vAlign w:val="center"/>
            <w:hideMark/>
          </w:tcPr>
          <w:p w:rsidR="00893C8A" w:rsidRPr="00CE3C3C" w:rsidRDefault="00893C8A" w:rsidP="00893C8A">
            <w:pPr>
              <w:jc w:val="center"/>
              <w:rPr>
                <w:rFonts w:eastAsia="Times New Roman"/>
                <w:color w:val="000000"/>
                <w:lang w:val="en-US" w:eastAsia="en-US"/>
              </w:rPr>
            </w:pPr>
            <w:r w:rsidRPr="00CE3C3C">
              <w:rPr>
                <w:rFonts w:eastAsia="Times New Roman"/>
                <w:color w:val="000000"/>
                <w:sz w:val="22"/>
                <w:szCs w:val="22"/>
                <w:lang w:val="en-US" w:eastAsia="en-US"/>
              </w:rPr>
              <w:t>MFE</w:t>
            </w:r>
          </w:p>
        </w:tc>
      </w:tr>
    </w:tbl>
    <w:p w:rsidR="00893C8A" w:rsidRDefault="00893C8A" w:rsidP="00BE000A"/>
    <w:p w:rsidR="00893C8A" w:rsidRDefault="00893C8A" w:rsidP="00BE000A"/>
    <w:p w:rsidR="00893C8A" w:rsidRDefault="00893C8A" w:rsidP="00BE000A"/>
    <w:p w:rsidR="00893C8A" w:rsidRDefault="00893C8A" w:rsidP="00BE000A"/>
    <w:p w:rsidR="00893C8A" w:rsidRDefault="00893C8A" w:rsidP="00BE000A"/>
    <w:p w:rsidR="00893C8A" w:rsidRDefault="00893C8A" w:rsidP="00BE000A"/>
    <w:p w:rsidR="00893C8A" w:rsidRDefault="00893C8A" w:rsidP="00BE000A"/>
    <w:p w:rsidR="00893C8A" w:rsidRPr="00BE000A" w:rsidRDefault="00893C8A" w:rsidP="00BE000A"/>
    <w:p w:rsidR="000D354C" w:rsidRDefault="000D354C" w:rsidP="00BF02E2">
      <w:pPr>
        <w:autoSpaceDE w:val="0"/>
        <w:autoSpaceDN w:val="0"/>
        <w:adjustRightInd w:val="0"/>
        <w:spacing w:line="276" w:lineRule="auto"/>
        <w:jc w:val="center"/>
      </w:pPr>
    </w:p>
    <w:p w:rsidR="000D354C" w:rsidRDefault="000D354C" w:rsidP="00BF02E2">
      <w:pPr>
        <w:autoSpaceDE w:val="0"/>
        <w:autoSpaceDN w:val="0"/>
        <w:adjustRightInd w:val="0"/>
        <w:spacing w:line="276" w:lineRule="auto"/>
        <w:jc w:val="center"/>
      </w:pPr>
    </w:p>
    <w:p w:rsidR="00E645B6" w:rsidRDefault="00E645B6" w:rsidP="00BF02E2">
      <w:pPr>
        <w:autoSpaceDE w:val="0"/>
        <w:autoSpaceDN w:val="0"/>
        <w:adjustRightInd w:val="0"/>
        <w:spacing w:line="276" w:lineRule="auto"/>
        <w:jc w:val="center"/>
      </w:pPr>
    </w:p>
    <w:p w:rsidR="00E645B6" w:rsidRDefault="00E645B6" w:rsidP="00BF02E2">
      <w:pPr>
        <w:autoSpaceDE w:val="0"/>
        <w:autoSpaceDN w:val="0"/>
        <w:adjustRightInd w:val="0"/>
        <w:spacing w:line="276" w:lineRule="auto"/>
        <w:jc w:val="center"/>
      </w:pPr>
    </w:p>
    <w:p w:rsidR="00E645B6" w:rsidRDefault="00E645B6" w:rsidP="00BF02E2">
      <w:pPr>
        <w:autoSpaceDE w:val="0"/>
        <w:autoSpaceDN w:val="0"/>
        <w:adjustRightInd w:val="0"/>
        <w:spacing w:line="276" w:lineRule="auto"/>
        <w:jc w:val="center"/>
      </w:pPr>
    </w:p>
    <w:p w:rsidR="005E370A" w:rsidRDefault="005E370A" w:rsidP="00BF02E2">
      <w:pPr>
        <w:autoSpaceDE w:val="0"/>
        <w:autoSpaceDN w:val="0"/>
        <w:adjustRightInd w:val="0"/>
        <w:spacing w:line="276" w:lineRule="auto"/>
        <w:jc w:val="center"/>
      </w:pPr>
    </w:p>
    <w:p w:rsidR="005E370A" w:rsidRDefault="005E370A" w:rsidP="00BF02E2">
      <w:pPr>
        <w:autoSpaceDE w:val="0"/>
        <w:autoSpaceDN w:val="0"/>
        <w:adjustRightInd w:val="0"/>
        <w:spacing w:line="276" w:lineRule="auto"/>
        <w:jc w:val="center"/>
      </w:pPr>
    </w:p>
    <w:p w:rsidR="005E370A" w:rsidRDefault="005E370A" w:rsidP="00BF02E2">
      <w:pPr>
        <w:autoSpaceDE w:val="0"/>
        <w:autoSpaceDN w:val="0"/>
        <w:adjustRightInd w:val="0"/>
        <w:spacing w:line="276" w:lineRule="auto"/>
        <w:jc w:val="center"/>
      </w:pPr>
    </w:p>
    <w:p w:rsidR="005E370A" w:rsidRDefault="005E370A" w:rsidP="00BF02E2">
      <w:pPr>
        <w:autoSpaceDE w:val="0"/>
        <w:autoSpaceDN w:val="0"/>
        <w:adjustRightInd w:val="0"/>
        <w:spacing w:line="276" w:lineRule="auto"/>
        <w:jc w:val="center"/>
      </w:pPr>
    </w:p>
    <w:p w:rsidR="005E370A" w:rsidRDefault="005E370A" w:rsidP="00BF02E2">
      <w:pPr>
        <w:autoSpaceDE w:val="0"/>
        <w:autoSpaceDN w:val="0"/>
        <w:adjustRightInd w:val="0"/>
        <w:spacing w:line="276" w:lineRule="auto"/>
        <w:jc w:val="center"/>
      </w:pPr>
    </w:p>
    <w:p w:rsidR="005E370A" w:rsidRDefault="005E370A" w:rsidP="00BF02E2">
      <w:pPr>
        <w:autoSpaceDE w:val="0"/>
        <w:autoSpaceDN w:val="0"/>
        <w:adjustRightInd w:val="0"/>
        <w:spacing w:line="276" w:lineRule="auto"/>
        <w:jc w:val="center"/>
      </w:pPr>
    </w:p>
    <w:p w:rsidR="00C70695" w:rsidRDefault="00C70695" w:rsidP="00BF02E2">
      <w:pPr>
        <w:autoSpaceDE w:val="0"/>
        <w:autoSpaceDN w:val="0"/>
        <w:adjustRightInd w:val="0"/>
        <w:spacing w:line="276" w:lineRule="auto"/>
        <w:jc w:val="center"/>
      </w:pPr>
    </w:p>
    <w:p w:rsidR="00C70695" w:rsidRDefault="00C70695" w:rsidP="00BF02E2">
      <w:pPr>
        <w:autoSpaceDE w:val="0"/>
        <w:autoSpaceDN w:val="0"/>
        <w:adjustRightInd w:val="0"/>
        <w:spacing w:line="276" w:lineRule="auto"/>
        <w:jc w:val="center"/>
      </w:pPr>
    </w:p>
    <w:p w:rsidR="000D354C" w:rsidRDefault="000D354C" w:rsidP="00BF02E2">
      <w:pPr>
        <w:autoSpaceDE w:val="0"/>
        <w:autoSpaceDN w:val="0"/>
        <w:adjustRightInd w:val="0"/>
        <w:spacing w:line="276" w:lineRule="auto"/>
        <w:jc w:val="center"/>
      </w:pPr>
    </w:p>
    <w:p w:rsidR="002F3CB8" w:rsidRPr="006042E9" w:rsidRDefault="002F3CB8" w:rsidP="006042E9">
      <w:pPr>
        <w:pStyle w:val="Heading1"/>
        <w:shd w:val="clear" w:color="auto" w:fill="99FFCC"/>
        <w:spacing w:before="0" w:after="0" w:line="276" w:lineRule="auto"/>
        <w:rPr>
          <w:rFonts w:ascii="Times New Roman" w:hAnsi="Times New Roman"/>
          <w:color w:val="FF00FF"/>
          <w:sz w:val="24"/>
          <w:szCs w:val="24"/>
        </w:rPr>
      </w:pPr>
      <w:bookmarkStart w:id="46" w:name="_Toc79509636"/>
      <w:r w:rsidRPr="006042E9">
        <w:rPr>
          <w:rFonts w:ascii="Times New Roman" w:hAnsi="Times New Roman"/>
          <w:color w:val="FF00FF"/>
          <w:sz w:val="24"/>
          <w:szCs w:val="24"/>
        </w:rPr>
        <w:lastRenderedPageBreak/>
        <w:t>ANEKS 3. MATRICA E MASAVE DHE TREGUESIT</w:t>
      </w:r>
      <w:bookmarkEnd w:id="46"/>
    </w:p>
    <w:p w:rsidR="00A55416" w:rsidRDefault="00A55416" w:rsidP="00A55416"/>
    <w:p w:rsidR="006042E9" w:rsidRDefault="006042E9" w:rsidP="00A55416"/>
    <w:tbl>
      <w:tblPr>
        <w:tblW w:w="13878" w:type="dxa"/>
        <w:tblInd w:w="-5" w:type="dxa"/>
        <w:tblLayout w:type="fixed"/>
        <w:tblLook w:val="04A0"/>
      </w:tblPr>
      <w:tblGrid>
        <w:gridCol w:w="1128"/>
        <w:gridCol w:w="3372"/>
        <w:gridCol w:w="1710"/>
        <w:gridCol w:w="1999"/>
        <w:gridCol w:w="1691"/>
        <w:gridCol w:w="2268"/>
        <w:gridCol w:w="1710"/>
      </w:tblGrid>
      <w:tr w:rsidR="00496B6C" w:rsidRPr="006042E9" w:rsidTr="006042E9">
        <w:trPr>
          <w:trHeight w:val="300"/>
        </w:trPr>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Lloji i treguesit</w:t>
            </w:r>
          </w:p>
        </w:tc>
        <w:tc>
          <w:tcPr>
            <w:tcW w:w="3372"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Emërtimi i Indikatorit</w:t>
            </w:r>
          </w:p>
        </w:tc>
        <w:tc>
          <w:tcPr>
            <w:tcW w:w="171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 xml:space="preserve">Lidhja me Nr e Shtyllës se SKZHI </w:t>
            </w:r>
          </w:p>
        </w:tc>
        <w:tc>
          <w:tcPr>
            <w:tcW w:w="199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Qëllimi/Objektivi Strategjik në SKZHI</w:t>
            </w:r>
          </w:p>
        </w:tc>
        <w:tc>
          <w:tcPr>
            <w:tcW w:w="169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Qëllimi i Politikës</w:t>
            </w:r>
          </w:p>
        </w:tc>
        <w:tc>
          <w:tcPr>
            <w:tcW w:w="22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 xml:space="preserve">Objektivi Specifik me të cilin lidhet indikatori/treguesi  </w:t>
            </w:r>
          </w:p>
        </w:tc>
        <w:tc>
          <w:tcPr>
            <w:tcW w:w="171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6B6C" w:rsidRPr="006042E9" w:rsidRDefault="00496B6C" w:rsidP="00496B6C">
            <w:pPr>
              <w:jc w:val="center"/>
              <w:rPr>
                <w:rFonts w:eastAsia="Times New Roman"/>
                <w:b/>
                <w:bCs/>
                <w:color w:val="000000"/>
                <w:lang w:val="en-US" w:eastAsia="en-US"/>
              </w:rPr>
            </w:pPr>
            <w:r w:rsidRPr="006042E9">
              <w:rPr>
                <w:rFonts w:eastAsia="Times New Roman"/>
                <w:b/>
                <w:bCs/>
                <w:color w:val="000000"/>
                <w:sz w:val="22"/>
                <w:szCs w:val="22"/>
                <w:lang w:val="en-US" w:eastAsia="en-US"/>
              </w:rPr>
              <w:t>Burimi i të dhënave për monitorimin e treguesit të performancës</w:t>
            </w:r>
          </w:p>
        </w:tc>
      </w:tr>
      <w:tr w:rsidR="00496B6C" w:rsidRPr="006042E9" w:rsidTr="006042E9">
        <w:trPr>
          <w:trHeight w:val="300"/>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c>
          <w:tcPr>
            <w:tcW w:w="3372"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496B6C" w:rsidRPr="006042E9" w:rsidRDefault="00496B6C" w:rsidP="00496B6C">
            <w:pPr>
              <w:rPr>
                <w:rFonts w:eastAsia="Times New Roman"/>
                <w:b/>
                <w:bCs/>
                <w:color w:val="000000"/>
                <w:lang w:val="en-US" w:eastAsia="en-US"/>
              </w:rPr>
            </w:pP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B65F4D">
            <w:pPr>
              <w:jc w:val="both"/>
              <w:rPr>
                <w:rFonts w:eastAsia="Times New Roman"/>
                <w:color w:val="000000"/>
                <w:lang w:val="en-US" w:eastAsia="en-US"/>
              </w:rPr>
            </w:pPr>
            <w:r w:rsidRPr="006042E9">
              <w:rPr>
                <w:rFonts w:eastAsia="Times New Roman"/>
                <w:color w:val="000000"/>
                <w:sz w:val="22"/>
                <w:szCs w:val="22"/>
                <w:lang w:val="en-US" w:eastAsia="en-US"/>
              </w:rPr>
              <w:t>Numri i nëpunëseve dhe nëpunësve civilë qendrorë e vendorë të trajnuar për të trajtuar me ndjeshmërinë e duhur dhe sipas standardeve çështjet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lang w:val="en-US" w:eastAsia="en-US"/>
              </w:rPr>
            </w:pPr>
            <w:r w:rsidRPr="006042E9">
              <w:rPr>
                <w:rFonts w:eastAsia="Times New Roman"/>
                <w:sz w:val="22"/>
                <w:szCs w:val="22"/>
                <w:lang w:val="en-US" w:eastAsia="en-US"/>
              </w:rPr>
              <w:t>11.7 Ndërtimi i një shoqërie më gjithëpërfshirëse</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Ndërtimi i kapaciteteve të profesionistëve</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w:t>
            </w:r>
            <w:r w:rsidR="00B65F4D">
              <w:rPr>
                <w:rFonts w:eastAsia="Times New Roman"/>
                <w:color w:val="000000"/>
                <w:sz w:val="22"/>
                <w:szCs w:val="22"/>
                <w:lang w:val="en-US" w:eastAsia="en-US"/>
              </w:rPr>
              <w:t>v</w:t>
            </w:r>
            <w:r w:rsidRPr="006042E9">
              <w:rPr>
                <w:rFonts w:eastAsia="Times New Roman"/>
                <w:color w:val="000000"/>
                <w:sz w:val="22"/>
                <w:szCs w:val="22"/>
                <w:lang w:val="en-US" w:eastAsia="en-US"/>
              </w:rPr>
              <w:t>i specifik I.1. Ofrimi i shërbimeve të përkujdesit shoqëror cilësore dhe miqësore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ASPA</w:t>
            </w:r>
          </w:p>
        </w:tc>
      </w:tr>
      <w:tr w:rsidR="00496B6C" w:rsidRPr="006042E9" w:rsidTr="006042E9">
        <w:trPr>
          <w:trHeight w:val="765"/>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B65F4D">
            <w:pPr>
              <w:jc w:val="both"/>
              <w:rPr>
                <w:rFonts w:eastAsia="Times New Roman"/>
                <w:color w:val="000000"/>
                <w:lang w:val="en-US" w:eastAsia="en-US"/>
              </w:rPr>
            </w:pPr>
            <w:r w:rsidRPr="006042E9">
              <w:rPr>
                <w:rFonts w:eastAsia="Times New Roman"/>
                <w:color w:val="000000"/>
                <w:sz w:val="22"/>
                <w:szCs w:val="22"/>
                <w:lang w:val="en-US" w:eastAsia="en-US"/>
              </w:rPr>
              <w:t>Numri i raporteve të monitorimit të përgatiutura nga KMD për numrin e ankesave të shqyrtuara kryesisht prej këti institucioni për rastet e personave LGBTI+ të diskriminuar</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6042E9">
            <w:pPr>
              <w:jc w:val="center"/>
              <w:rPr>
                <w:rFonts w:eastAsia="Times New Roman"/>
                <w:color w:val="000000"/>
                <w:lang w:val="en-US" w:eastAsia="en-US"/>
              </w:rPr>
            </w:pPr>
            <w:r w:rsidRPr="006042E9">
              <w:rPr>
                <w:rFonts w:eastAsia="Times New Roman"/>
                <w:color w:val="000000"/>
                <w:sz w:val="22"/>
                <w:szCs w:val="22"/>
                <w:lang w:val="en-US" w:eastAsia="en-US"/>
              </w:rPr>
              <w:t>8. QEVERISJA E MIR</w:t>
            </w:r>
            <w:r w:rsidR="006042E9">
              <w:rPr>
                <w:rFonts w:eastAsia="Times New Roman"/>
                <w:color w:val="000000"/>
                <w:sz w:val="22"/>
                <w:szCs w:val="22"/>
                <w:lang w:val="en-US" w:eastAsia="en-US"/>
              </w:rPr>
              <w:t>Ë</w:t>
            </w:r>
            <w:r w:rsidRPr="006042E9">
              <w:rPr>
                <w:rFonts w:eastAsia="Times New Roman"/>
                <w:color w:val="000000"/>
                <w:sz w:val="22"/>
                <w:szCs w:val="22"/>
                <w:lang w:val="en-US" w:eastAsia="en-US"/>
              </w:rPr>
              <w:t>, DEMOKRACIA DHE SHTETI I S</w:t>
            </w:r>
            <w:r w:rsidR="006042E9">
              <w:rPr>
                <w:rFonts w:eastAsia="Times New Roman"/>
                <w:color w:val="000000"/>
                <w:sz w:val="22"/>
                <w:szCs w:val="22"/>
                <w:lang w:val="en-US" w:eastAsia="en-US"/>
              </w:rPr>
              <w:t>Ë</w:t>
            </w:r>
            <w:r w:rsidRPr="006042E9">
              <w:rPr>
                <w:rFonts w:eastAsia="Times New Roman"/>
                <w:color w:val="000000"/>
                <w:sz w:val="22"/>
                <w:szCs w:val="22"/>
                <w:lang w:val="en-US" w:eastAsia="en-US"/>
              </w:rPr>
              <w:t xml:space="preserve"> DREJT</w:t>
            </w:r>
            <w:r w:rsidR="006042E9">
              <w:rPr>
                <w:rFonts w:eastAsia="Times New Roman"/>
                <w:color w:val="000000"/>
                <w:sz w:val="22"/>
                <w:szCs w:val="22"/>
                <w:lang w:val="en-US" w:eastAsia="en-US"/>
              </w:rPr>
              <w:t>Ë</w:t>
            </w:r>
            <w:r w:rsidRPr="006042E9">
              <w:rPr>
                <w:rFonts w:eastAsia="Times New Roman"/>
                <w:color w:val="000000"/>
                <w:sz w:val="22"/>
                <w:szCs w:val="22"/>
                <w:lang w:val="en-US" w:eastAsia="en-US"/>
              </w:rPr>
              <w:t>S</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6042E9">
            <w:pPr>
              <w:jc w:val="center"/>
              <w:rPr>
                <w:rFonts w:eastAsia="Times New Roman"/>
                <w:lang w:val="en-US" w:eastAsia="en-US"/>
              </w:rPr>
            </w:pPr>
            <w:r w:rsidRPr="006042E9">
              <w:rPr>
                <w:rFonts w:eastAsia="Times New Roman"/>
                <w:sz w:val="22"/>
                <w:szCs w:val="22"/>
                <w:lang w:val="en-US" w:eastAsia="en-US"/>
              </w:rPr>
              <w:t>8.6. Forcimi i të drejtave të njeriut</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Fuqizimi i mekanizmave monitorues për të drejtat e njeriut</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w:t>
            </w:r>
            <w:r w:rsidR="00B65F4D">
              <w:rPr>
                <w:rFonts w:eastAsia="Times New Roman"/>
                <w:color w:val="000000"/>
                <w:sz w:val="22"/>
                <w:szCs w:val="22"/>
                <w:lang w:val="en-US" w:eastAsia="en-US"/>
              </w:rPr>
              <w:t>v</w:t>
            </w:r>
            <w:r w:rsidRPr="006042E9">
              <w:rPr>
                <w:rFonts w:eastAsia="Times New Roman"/>
                <w:color w:val="000000"/>
                <w:sz w:val="22"/>
                <w:szCs w:val="22"/>
                <w:lang w:val="en-US" w:eastAsia="en-US"/>
              </w:rPr>
              <w:t>i specifik I.1. Ofrimi i shërbimeve të përkujdesit shoqëror cilësore dhe miqësore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KMD dhe MSHMS</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B65F4D">
            <w:pPr>
              <w:jc w:val="both"/>
              <w:rPr>
                <w:rFonts w:eastAsia="Times New Roman"/>
                <w:color w:val="000000"/>
                <w:lang w:val="en-US" w:eastAsia="en-US"/>
              </w:rPr>
            </w:pPr>
            <w:r w:rsidRPr="006042E9">
              <w:rPr>
                <w:rFonts w:eastAsia="Times New Roman"/>
                <w:color w:val="000000"/>
                <w:sz w:val="22"/>
                <w:szCs w:val="22"/>
                <w:lang w:val="en-US" w:eastAsia="en-US"/>
              </w:rPr>
              <w:t>Numri i profesionisteve dhe prof</w:t>
            </w:r>
            <w:r w:rsidR="00BC485D">
              <w:rPr>
                <w:rFonts w:eastAsia="Times New Roman"/>
                <w:color w:val="000000"/>
                <w:sz w:val="22"/>
                <w:szCs w:val="22"/>
                <w:lang w:val="en-US" w:eastAsia="en-US"/>
              </w:rPr>
              <w:t>esionistëve të sistemit arsimor</w:t>
            </w:r>
            <w:r w:rsidRPr="006042E9">
              <w:rPr>
                <w:rFonts w:eastAsia="Times New Roman"/>
                <w:color w:val="000000"/>
                <w:sz w:val="22"/>
                <w:szCs w:val="22"/>
                <w:lang w:val="en-US" w:eastAsia="en-US"/>
              </w:rPr>
              <w:t xml:space="preserve"> parauniversitar të trajniuar për çështjet LGBTI+ dhe identifikimin e referimin e rasteve të diskriminiit ndaj tyre</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6042E9" w:rsidP="006042E9">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6042E9" w:rsidP="00BC485D">
            <w:pPr>
              <w:jc w:val="center"/>
              <w:rPr>
                <w:rFonts w:eastAsia="Times New Roman"/>
                <w:lang w:val="en-US" w:eastAsia="en-US"/>
              </w:rPr>
            </w:pPr>
            <w:r w:rsidRPr="006042E9">
              <w:rPr>
                <w:rFonts w:eastAsia="Times New Roman"/>
                <w:sz w:val="22"/>
                <w:szCs w:val="22"/>
                <w:lang w:val="en-US" w:eastAsia="en-US"/>
              </w:rPr>
              <w:t>11.1. Më shumë mundësi dhe më shumë cilësi në arsim</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Pro</w:t>
            </w:r>
            <w:r w:rsidR="006042E9">
              <w:rPr>
                <w:rFonts w:eastAsia="Times New Roman"/>
                <w:color w:val="000000"/>
                <w:sz w:val="22"/>
                <w:szCs w:val="22"/>
                <w:lang w:val="en-US" w:eastAsia="en-US"/>
              </w:rPr>
              <w:t>fesioniste e profesionistë të k</w:t>
            </w:r>
            <w:r w:rsidRPr="006042E9">
              <w:rPr>
                <w:rFonts w:eastAsia="Times New Roman"/>
                <w:color w:val="000000"/>
                <w:sz w:val="22"/>
                <w:szCs w:val="22"/>
                <w:lang w:val="en-US" w:eastAsia="en-US"/>
              </w:rPr>
              <w:t>ualifikuar</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w:t>
            </w:r>
            <w:r w:rsidR="00B65F4D">
              <w:rPr>
                <w:rFonts w:eastAsia="Times New Roman"/>
                <w:color w:val="000000"/>
                <w:sz w:val="22"/>
                <w:szCs w:val="22"/>
                <w:lang w:val="en-US" w:eastAsia="en-US"/>
              </w:rPr>
              <w:t>v</w:t>
            </w:r>
            <w:r w:rsidRPr="006042E9">
              <w:rPr>
                <w:rFonts w:eastAsia="Times New Roman"/>
                <w:color w:val="000000"/>
                <w:sz w:val="22"/>
                <w:szCs w:val="22"/>
                <w:lang w:val="en-US" w:eastAsia="en-US"/>
              </w:rPr>
              <w:t>i specifik I.1. Ofrimi i shërbimeve të përkujdesit shoqëror cilësore dhe miqësore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6042E9" w:rsidP="006042E9">
            <w:pPr>
              <w:jc w:val="center"/>
              <w:rPr>
                <w:rFonts w:eastAsia="Times New Roman"/>
                <w:color w:val="000000"/>
                <w:lang w:val="en-US" w:eastAsia="en-US"/>
              </w:rPr>
            </w:pPr>
            <w:r>
              <w:rPr>
                <w:rFonts w:eastAsia="Times New Roman"/>
                <w:color w:val="000000"/>
                <w:sz w:val="22"/>
                <w:szCs w:val="22"/>
                <w:lang w:val="en-US" w:eastAsia="en-US"/>
              </w:rPr>
              <w:t>MASR</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B65F4D">
            <w:pPr>
              <w:jc w:val="both"/>
              <w:rPr>
                <w:rFonts w:eastAsia="Times New Roman"/>
                <w:color w:val="000000"/>
                <w:lang w:val="en-US" w:eastAsia="en-US"/>
              </w:rPr>
            </w:pPr>
            <w:r w:rsidRPr="006042E9">
              <w:rPr>
                <w:rFonts w:eastAsia="Times New Roman"/>
                <w:color w:val="000000"/>
                <w:sz w:val="22"/>
                <w:szCs w:val="22"/>
                <w:lang w:val="en-US" w:eastAsia="en-US"/>
              </w:rPr>
              <w:t xml:space="preserve">Numri i kurrikulave të përmirësuara në sistemin e arsimit </w:t>
            </w:r>
            <w:r w:rsidR="00BC485D">
              <w:rPr>
                <w:rFonts w:eastAsia="Times New Roman"/>
                <w:color w:val="000000"/>
                <w:sz w:val="22"/>
                <w:szCs w:val="22"/>
                <w:lang w:val="en-US" w:eastAsia="en-US"/>
              </w:rPr>
              <w:t>universitar/pas universitar me modulin</w:t>
            </w:r>
            <w:r w:rsidRPr="006042E9">
              <w:rPr>
                <w:rFonts w:eastAsia="Times New Roman"/>
                <w:color w:val="000000"/>
                <w:sz w:val="22"/>
                <w:szCs w:val="22"/>
                <w:lang w:val="en-US" w:eastAsia="en-US"/>
              </w:rPr>
              <w:t xml:space="preserve"> mbi çështjet LGBTI+ të shtuar</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6042E9">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BC485D">
            <w:pPr>
              <w:jc w:val="center"/>
              <w:rPr>
                <w:rFonts w:eastAsia="Times New Roman"/>
                <w:lang w:val="en-US" w:eastAsia="en-US"/>
              </w:rPr>
            </w:pPr>
            <w:r w:rsidRPr="006042E9">
              <w:rPr>
                <w:rFonts w:eastAsia="Times New Roman"/>
                <w:sz w:val="22"/>
                <w:szCs w:val="22"/>
                <w:lang w:val="en-US" w:eastAsia="en-US"/>
              </w:rPr>
              <w:t>11.1. Më shumë mundësi dhe më shumë cilësi në arsim</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6042E9" w:rsidP="00496B6C">
            <w:pPr>
              <w:jc w:val="center"/>
              <w:rPr>
                <w:rFonts w:eastAsia="Times New Roman"/>
                <w:color w:val="000000"/>
                <w:lang w:val="en-US" w:eastAsia="en-US"/>
              </w:rPr>
            </w:pPr>
            <w:r w:rsidRPr="006042E9">
              <w:rPr>
                <w:rFonts w:eastAsia="Times New Roman"/>
                <w:color w:val="000000"/>
                <w:sz w:val="22"/>
                <w:szCs w:val="22"/>
                <w:lang w:val="en-US" w:eastAsia="en-US"/>
              </w:rPr>
              <w:t>Sisteme arsimore jo diskriminuese që mbrojnë të drejtat e njeriut</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w:t>
            </w:r>
            <w:r w:rsidR="00B65F4D">
              <w:rPr>
                <w:rFonts w:eastAsia="Times New Roman"/>
                <w:color w:val="000000"/>
                <w:sz w:val="22"/>
                <w:szCs w:val="22"/>
                <w:lang w:val="en-US" w:eastAsia="en-US"/>
              </w:rPr>
              <w:t>v</w:t>
            </w:r>
            <w:r w:rsidRPr="006042E9">
              <w:rPr>
                <w:rFonts w:eastAsia="Times New Roman"/>
                <w:color w:val="000000"/>
                <w:sz w:val="22"/>
                <w:szCs w:val="22"/>
                <w:lang w:val="en-US" w:eastAsia="en-US"/>
              </w:rPr>
              <w:t>i specifik I.1. Ofrimi i shërbimeve të përkujdesit shoqëror cilësore dhe miqësore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6042E9" w:rsidP="00496B6C">
            <w:pPr>
              <w:jc w:val="center"/>
              <w:rPr>
                <w:rFonts w:eastAsia="Times New Roman"/>
                <w:color w:val="000000"/>
                <w:lang w:val="en-US" w:eastAsia="en-US"/>
              </w:rPr>
            </w:pPr>
            <w:r>
              <w:rPr>
                <w:rFonts w:eastAsia="Times New Roman"/>
                <w:color w:val="000000"/>
                <w:sz w:val="22"/>
                <w:szCs w:val="22"/>
                <w:lang w:val="en-US" w:eastAsia="en-US"/>
              </w:rPr>
              <w:t>MASR</w:t>
            </w:r>
          </w:p>
        </w:tc>
      </w:tr>
      <w:tr w:rsidR="00496B6C" w:rsidRPr="006042E9" w:rsidTr="006042E9">
        <w:trPr>
          <w:trHeight w:val="1275"/>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lastRenderedPageBreak/>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B65F4D">
            <w:pPr>
              <w:jc w:val="both"/>
              <w:rPr>
                <w:rFonts w:eastAsia="Times New Roman"/>
                <w:color w:val="000000"/>
                <w:lang w:val="en-US" w:eastAsia="en-US"/>
              </w:rPr>
            </w:pPr>
            <w:r w:rsidRPr="006042E9">
              <w:rPr>
                <w:rFonts w:eastAsia="Times New Roman"/>
                <w:color w:val="000000"/>
                <w:sz w:val="22"/>
                <w:szCs w:val="22"/>
                <w:lang w:val="en-US" w:eastAsia="en-US"/>
              </w:rPr>
              <w:t>Numri i  i mjekeve dhe mjekëve obstetër-gjinekologë, andrologë, neonatë si  dhe mamive dhe mjekëve të familjes të trajnuar mbi zbatimin e dy protokolleve të miratuara</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496B6C">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496B6C">
            <w:pPr>
              <w:jc w:val="center"/>
              <w:rPr>
                <w:rFonts w:eastAsia="Times New Roman"/>
                <w:lang w:val="en-US" w:eastAsia="en-US"/>
              </w:rPr>
            </w:pPr>
            <w:r w:rsidRPr="00BC485D">
              <w:rPr>
                <w:rFonts w:eastAsia="Times New Roman"/>
                <w:sz w:val="22"/>
                <w:szCs w:val="22"/>
                <w:lang w:val="en-US" w:eastAsia="en-US"/>
              </w:rPr>
              <w:t>11.2. Një sistem i kujdesit shëndetësor më i fortë dhe më i aksesueshëm</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496B6C">
            <w:pPr>
              <w:jc w:val="center"/>
              <w:rPr>
                <w:rFonts w:eastAsia="Times New Roman"/>
                <w:color w:val="000000"/>
                <w:lang w:val="en-US" w:eastAsia="en-US"/>
              </w:rPr>
            </w:pPr>
            <w:r w:rsidRPr="00BC485D">
              <w:rPr>
                <w:rFonts w:eastAsia="Times New Roman"/>
                <w:color w:val="000000"/>
                <w:sz w:val="22"/>
                <w:szCs w:val="22"/>
                <w:lang w:val="en-US" w:eastAsia="en-US"/>
              </w:rPr>
              <w:t>Kujes shëndetësor universal cilësor dhe në kohë</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w:t>
            </w:r>
            <w:r w:rsidR="00B65F4D">
              <w:rPr>
                <w:rFonts w:eastAsia="Times New Roman"/>
                <w:color w:val="000000"/>
                <w:sz w:val="22"/>
                <w:szCs w:val="22"/>
                <w:lang w:val="en-US" w:eastAsia="en-US"/>
              </w:rPr>
              <w:t>v</w:t>
            </w:r>
            <w:r w:rsidRPr="006042E9">
              <w:rPr>
                <w:rFonts w:eastAsia="Times New Roman"/>
                <w:color w:val="000000"/>
                <w:sz w:val="22"/>
                <w:szCs w:val="22"/>
                <w:lang w:val="en-US" w:eastAsia="en-US"/>
              </w:rPr>
              <w:t>i specifik I.1. Ofrimi i shërbimeve të përkujdesit shoqëror cilësore dhe miqësore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MSHMS</w:t>
            </w:r>
          </w:p>
        </w:tc>
      </w:tr>
      <w:tr w:rsidR="00496B6C" w:rsidRPr="006042E9" w:rsidTr="006042E9">
        <w:trPr>
          <w:trHeight w:val="765"/>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496B6C">
            <w:pPr>
              <w:rPr>
                <w:rFonts w:eastAsia="Times New Roman"/>
                <w:color w:val="000000"/>
                <w:lang w:val="en-US" w:eastAsia="en-US"/>
              </w:rPr>
            </w:pPr>
            <w:r w:rsidRPr="006042E9">
              <w:rPr>
                <w:rFonts w:eastAsia="Times New Roman"/>
                <w:color w:val="000000"/>
                <w:sz w:val="22"/>
                <w:szCs w:val="22"/>
                <w:lang w:val="en-US" w:eastAsia="en-US"/>
              </w:rPr>
              <w:t>Numri i testeve për SST dhe HIV për personat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496B6C">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496B6C">
            <w:pPr>
              <w:jc w:val="center"/>
              <w:rPr>
                <w:rFonts w:eastAsia="Times New Roman"/>
                <w:lang w:val="en-US" w:eastAsia="en-US"/>
              </w:rPr>
            </w:pPr>
            <w:r w:rsidRPr="00BC485D">
              <w:rPr>
                <w:rFonts w:eastAsia="Times New Roman"/>
                <w:sz w:val="22"/>
                <w:szCs w:val="22"/>
                <w:lang w:val="en-US" w:eastAsia="en-US"/>
              </w:rPr>
              <w:t>11.2. Një sistem i kujdesit shëndetësor më i fortë dhe më i aksesueshëm</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BC485D" w:rsidP="00496B6C">
            <w:pPr>
              <w:jc w:val="center"/>
              <w:rPr>
                <w:rFonts w:eastAsia="Times New Roman"/>
                <w:color w:val="000000"/>
                <w:lang w:val="en-US" w:eastAsia="en-US"/>
              </w:rPr>
            </w:pPr>
            <w:r w:rsidRPr="00CE3C3C">
              <w:rPr>
                <w:rFonts w:eastAsia="Times New Roman"/>
                <w:color w:val="000000"/>
                <w:sz w:val="22"/>
                <w:szCs w:val="22"/>
                <w:lang w:val="en-US" w:eastAsia="en-US"/>
              </w:rPr>
              <w:t>Kuj</w:t>
            </w:r>
            <w:r>
              <w:rPr>
                <w:rFonts w:eastAsia="Times New Roman"/>
                <w:color w:val="000000"/>
                <w:sz w:val="22"/>
                <w:szCs w:val="22"/>
                <w:lang w:val="en-US" w:eastAsia="en-US"/>
              </w:rPr>
              <w:t>d</w:t>
            </w:r>
            <w:r w:rsidRPr="00CE3C3C">
              <w:rPr>
                <w:rFonts w:eastAsia="Times New Roman"/>
                <w:color w:val="000000"/>
                <w:sz w:val="22"/>
                <w:szCs w:val="22"/>
                <w:lang w:val="en-US" w:eastAsia="en-US"/>
              </w:rPr>
              <w:t>es shëndetësor universal cilësor dhe në kohë</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w:t>
            </w:r>
            <w:r w:rsidR="00B65F4D">
              <w:rPr>
                <w:rFonts w:eastAsia="Times New Roman"/>
                <w:color w:val="000000"/>
                <w:sz w:val="22"/>
                <w:szCs w:val="22"/>
                <w:lang w:val="en-US" w:eastAsia="en-US"/>
              </w:rPr>
              <w:t>v</w:t>
            </w:r>
            <w:r w:rsidRPr="006042E9">
              <w:rPr>
                <w:rFonts w:eastAsia="Times New Roman"/>
                <w:color w:val="000000"/>
                <w:sz w:val="22"/>
                <w:szCs w:val="22"/>
                <w:lang w:val="en-US" w:eastAsia="en-US"/>
              </w:rPr>
              <w:t>i specifik I.1. Ofrimi i shërbimeve të përkujdesit shoqëror cilësore dhe miqësore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MSHMS</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757012">
            <w:pPr>
              <w:jc w:val="both"/>
              <w:rPr>
                <w:rFonts w:eastAsia="Times New Roman"/>
                <w:color w:val="000000"/>
                <w:lang w:val="en-US" w:eastAsia="en-US"/>
              </w:rPr>
            </w:pPr>
            <w:r w:rsidRPr="006042E9">
              <w:rPr>
                <w:rFonts w:eastAsia="Times New Roman"/>
                <w:color w:val="000000"/>
                <w:sz w:val="22"/>
                <w:szCs w:val="22"/>
                <w:lang w:val="en-US" w:eastAsia="en-US"/>
              </w:rPr>
              <w:t>II.2.b. Numri i pikave fokale për LGBTI+ pranë KVSP të trajnuar</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DF0FB0" w:rsidP="00496B6C">
            <w:pPr>
              <w:jc w:val="center"/>
              <w:rPr>
                <w:rFonts w:eastAsia="Times New Roman"/>
                <w:color w:val="000000"/>
                <w:lang w:val="en-US" w:eastAsia="en-US"/>
              </w:rPr>
            </w:pPr>
            <w:r w:rsidRPr="00DF0FB0">
              <w:rPr>
                <w:rFonts w:eastAsia="Times New Roman"/>
                <w:color w:val="000000"/>
                <w:sz w:val="22"/>
                <w:szCs w:val="22"/>
                <w:lang w:val="en-US" w:eastAsia="en-US"/>
              </w:rPr>
              <w:t>8.QEVERISJA E MIRË, D</w:t>
            </w:r>
            <w:r>
              <w:rPr>
                <w:rFonts w:eastAsia="Times New Roman"/>
                <w:color w:val="000000"/>
                <w:sz w:val="22"/>
                <w:szCs w:val="22"/>
                <w:lang w:val="en-US" w:eastAsia="en-US"/>
              </w:rPr>
              <w:t>EMOKRACIA</w:t>
            </w:r>
            <w:r w:rsidRPr="00DF0FB0">
              <w:rPr>
                <w:rFonts w:eastAsia="Times New Roman"/>
                <w:color w:val="000000"/>
                <w:sz w:val="22"/>
                <w:szCs w:val="22"/>
                <w:lang w:val="en-US" w:eastAsia="en-US"/>
              </w:rPr>
              <w:t xml:space="preserve"> SUNDIMI I LIGJIT</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lang w:val="en-US" w:eastAsia="en-US"/>
              </w:rPr>
            </w:pPr>
            <w:r w:rsidRPr="006042E9">
              <w:rPr>
                <w:rFonts w:eastAsia="Times New Roman"/>
                <w:sz w:val="22"/>
                <w:szCs w:val="22"/>
                <w:lang w:val="en-US" w:eastAsia="en-US"/>
              </w:rPr>
              <w:t>8.5 Forcimi i rendit publik</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DF0FB0">
            <w:pPr>
              <w:jc w:val="center"/>
              <w:rPr>
                <w:rFonts w:eastAsia="Times New Roman"/>
                <w:color w:val="000000"/>
                <w:lang w:val="en-US" w:eastAsia="en-US"/>
              </w:rPr>
            </w:pPr>
            <w:r w:rsidRPr="006042E9">
              <w:rPr>
                <w:rFonts w:eastAsia="Times New Roman"/>
                <w:color w:val="000000"/>
                <w:sz w:val="22"/>
                <w:szCs w:val="22"/>
                <w:lang w:val="en-US" w:eastAsia="en-US"/>
              </w:rPr>
              <w:t>Shërbime për r</w:t>
            </w:r>
            <w:r w:rsidR="00DF0FB0">
              <w:rPr>
                <w:rFonts w:eastAsia="Times New Roman"/>
                <w:color w:val="000000"/>
                <w:sz w:val="22"/>
                <w:szCs w:val="22"/>
                <w:lang w:val="en-US" w:eastAsia="en-US"/>
              </w:rPr>
              <w:t>a</w:t>
            </w:r>
            <w:r w:rsidRPr="006042E9">
              <w:rPr>
                <w:rFonts w:eastAsia="Times New Roman"/>
                <w:color w:val="000000"/>
                <w:sz w:val="22"/>
                <w:szCs w:val="22"/>
                <w:lang w:val="en-US" w:eastAsia="en-US"/>
              </w:rPr>
              <w:t>stet e diskriminuara dhe dhunuara të ofruara në mënyrë shumë-sektoriale të koordinuar</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757012" w:rsidP="00496B6C">
            <w:pPr>
              <w:jc w:val="center"/>
              <w:rPr>
                <w:rFonts w:eastAsia="Times New Roman"/>
                <w:color w:val="000000"/>
                <w:lang w:val="en-US" w:eastAsia="en-US"/>
              </w:rPr>
            </w:pPr>
            <w:r w:rsidRPr="00757012">
              <w:rPr>
                <w:rFonts w:eastAsia="Times New Roman"/>
                <w:color w:val="000000"/>
                <w:sz w:val="22"/>
                <w:szCs w:val="22"/>
                <w:lang w:val="en-US" w:eastAsia="en-US"/>
              </w:rPr>
              <w:t>Objektivi specifik II.2. Zbatimi me profesionalizem dhe pa paragjykime i legjislacionit për të luftuar diskriminimin dhe krimin e urrejtjes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 xml:space="preserve">MB/PSHSH </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757012">
            <w:pPr>
              <w:jc w:val="both"/>
              <w:rPr>
                <w:rFonts w:eastAsia="Times New Roman"/>
                <w:color w:val="000000"/>
                <w:lang w:val="en-US" w:eastAsia="en-US"/>
              </w:rPr>
            </w:pPr>
            <w:r w:rsidRPr="006042E9">
              <w:rPr>
                <w:rFonts w:eastAsia="Times New Roman"/>
                <w:color w:val="000000"/>
                <w:sz w:val="22"/>
                <w:szCs w:val="22"/>
                <w:lang w:val="en-US" w:eastAsia="en-US"/>
              </w:rPr>
              <w:t>Numri  i profesionisteve dhe profesionistëve në fushën e ofrimit të ndihmës ligjore, të trajnuar për shërbime të ndjeshme ndaj pesonave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 xml:space="preserve">8. </w:t>
            </w:r>
            <w:r w:rsidR="00757012" w:rsidRPr="00DF0FB0">
              <w:rPr>
                <w:rFonts w:eastAsia="Times New Roman"/>
                <w:color w:val="000000"/>
                <w:sz w:val="22"/>
                <w:szCs w:val="22"/>
                <w:lang w:val="en-US" w:eastAsia="en-US"/>
              </w:rPr>
              <w:t>QEVERISJA E MIRË, D</w:t>
            </w:r>
            <w:r w:rsidR="00757012">
              <w:rPr>
                <w:rFonts w:eastAsia="Times New Roman"/>
                <w:color w:val="000000"/>
                <w:sz w:val="22"/>
                <w:szCs w:val="22"/>
                <w:lang w:val="en-US" w:eastAsia="en-US"/>
              </w:rPr>
              <w:t>EMOKRACIA</w:t>
            </w:r>
            <w:r w:rsidR="00757012" w:rsidRPr="00DF0FB0">
              <w:rPr>
                <w:rFonts w:eastAsia="Times New Roman"/>
                <w:color w:val="000000"/>
                <w:sz w:val="22"/>
                <w:szCs w:val="22"/>
                <w:lang w:val="en-US" w:eastAsia="en-US"/>
              </w:rPr>
              <w:t xml:space="preserve"> SUNDIMI I LIGJIT</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lang w:val="en-US" w:eastAsia="en-US"/>
              </w:rPr>
            </w:pPr>
            <w:r w:rsidRPr="006042E9">
              <w:rPr>
                <w:rFonts w:eastAsia="Times New Roman"/>
                <w:sz w:val="22"/>
                <w:szCs w:val="22"/>
                <w:lang w:val="en-US" w:eastAsia="en-US"/>
              </w:rPr>
              <w:t>8.5 Forcimi i rendit publik</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A23C4A" w:rsidP="00496B6C">
            <w:pPr>
              <w:jc w:val="center"/>
              <w:rPr>
                <w:rFonts w:eastAsia="Times New Roman"/>
                <w:color w:val="000000"/>
                <w:lang w:val="en-US" w:eastAsia="en-US"/>
              </w:rPr>
            </w:pPr>
            <w:r>
              <w:rPr>
                <w:rFonts w:eastAsia="Times New Roman"/>
                <w:color w:val="000000"/>
                <w:sz w:val="22"/>
                <w:szCs w:val="22"/>
                <w:lang w:val="en-US" w:eastAsia="en-US"/>
              </w:rPr>
              <w:t>Shërbime për ra</w:t>
            </w:r>
            <w:r w:rsidR="00496B6C" w:rsidRPr="006042E9">
              <w:rPr>
                <w:rFonts w:eastAsia="Times New Roman"/>
                <w:color w:val="000000"/>
                <w:sz w:val="22"/>
                <w:szCs w:val="22"/>
                <w:lang w:val="en-US" w:eastAsia="en-US"/>
              </w:rPr>
              <w:t>stet e diskriminuara dhe dhunuara të ofruara në mënyrë shumë-sektoriale të koordinuar</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757012" w:rsidP="00496B6C">
            <w:pPr>
              <w:jc w:val="center"/>
              <w:rPr>
                <w:rFonts w:eastAsia="Times New Roman"/>
                <w:color w:val="000000"/>
                <w:lang w:val="en-US" w:eastAsia="en-US"/>
              </w:rPr>
            </w:pPr>
            <w:r w:rsidRPr="00757012">
              <w:rPr>
                <w:rFonts w:eastAsia="Times New Roman"/>
                <w:color w:val="000000"/>
                <w:sz w:val="22"/>
                <w:szCs w:val="22"/>
                <w:lang w:val="en-US" w:eastAsia="en-US"/>
              </w:rPr>
              <w:t>Objektivi specifik II.2. Zbatimi me profesionalizem dhe pa paragjykime i legjislacionit për të luftuar diskriminimin dhe krimin e urrejtjes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MD/DNJF</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757012">
            <w:pPr>
              <w:jc w:val="both"/>
              <w:rPr>
                <w:rFonts w:eastAsia="Times New Roman"/>
                <w:color w:val="000000"/>
                <w:lang w:val="en-US" w:eastAsia="en-US"/>
              </w:rPr>
            </w:pPr>
            <w:r w:rsidRPr="006042E9">
              <w:rPr>
                <w:rFonts w:eastAsia="Times New Roman"/>
                <w:color w:val="000000"/>
                <w:sz w:val="22"/>
                <w:szCs w:val="22"/>
                <w:lang w:val="en-US" w:eastAsia="en-US"/>
              </w:rPr>
              <w:t>Numri i raporteve vjetore të monitorimit të zbatimit të PKV LGBTI+ 2021 - 2027</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 xml:space="preserve">3. INVESTIMI NË KAPITAL NJERËZOR DHE KOHEZION </w:t>
            </w:r>
            <w:r w:rsidRPr="006042E9">
              <w:rPr>
                <w:rFonts w:eastAsia="Times New Roman"/>
                <w:color w:val="000000"/>
                <w:sz w:val="22"/>
                <w:szCs w:val="22"/>
                <w:lang w:val="en-US" w:eastAsia="en-US"/>
              </w:rPr>
              <w:lastRenderedPageBreak/>
              <w:t>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A23C4A" w:rsidP="00496B6C">
            <w:pPr>
              <w:jc w:val="center"/>
              <w:rPr>
                <w:rFonts w:eastAsia="Times New Roman"/>
                <w:lang w:val="en-US" w:eastAsia="en-US"/>
              </w:rPr>
            </w:pPr>
            <w:r w:rsidRPr="00A23C4A">
              <w:rPr>
                <w:rFonts w:eastAsia="Times New Roman"/>
                <w:sz w:val="22"/>
                <w:szCs w:val="22"/>
                <w:lang w:val="en-US" w:eastAsia="en-US"/>
              </w:rPr>
              <w:lastRenderedPageBreak/>
              <w:t>11.7 Ndërtimi i një shoqërie më gjithëpërfshirëse</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Institucione të përgjegjshme dhe transparente</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757012" w:rsidP="00496B6C">
            <w:pPr>
              <w:jc w:val="center"/>
              <w:rPr>
                <w:rFonts w:eastAsia="Times New Roman"/>
                <w:color w:val="000000"/>
                <w:lang w:val="en-US" w:eastAsia="en-US"/>
              </w:rPr>
            </w:pPr>
            <w:r w:rsidRPr="00757012">
              <w:rPr>
                <w:rFonts w:eastAsia="Times New Roman"/>
                <w:color w:val="000000"/>
                <w:sz w:val="22"/>
                <w:szCs w:val="22"/>
                <w:lang w:val="en-US" w:eastAsia="en-US"/>
              </w:rPr>
              <w:t xml:space="preserve">Objektivi specifik II.2. Zbatimi me profesionalizem dhe pa paragjykime i legjislacionit për të </w:t>
            </w:r>
            <w:r w:rsidRPr="00757012">
              <w:rPr>
                <w:rFonts w:eastAsia="Times New Roman"/>
                <w:color w:val="000000"/>
                <w:sz w:val="22"/>
                <w:szCs w:val="22"/>
                <w:lang w:val="en-US" w:eastAsia="en-US"/>
              </w:rPr>
              <w:lastRenderedPageBreak/>
              <w:t>luftuar diskriminimin dhe krimin e urrejtjes ndaj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lastRenderedPageBreak/>
              <w:t>MSHMS</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lastRenderedPageBreak/>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757012">
            <w:pPr>
              <w:jc w:val="both"/>
              <w:rPr>
                <w:rFonts w:eastAsia="Times New Roman"/>
                <w:color w:val="000000"/>
                <w:lang w:val="en-US" w:eastAsia="en-US"/>
              </w:rPr>
            </w:pPr>
            <w:r w:rsidRPr="006042E9">
              <w:rPr>
                <w:rFonts w:eastAsia="Times New Roman"/>
                <w:color w:val="000000"/>
                <w:sz w:val="22"/>
                <w:szCs w:val="22"/>
                <w:lang w:val="en-US" w:eastAsia="en-US"/>
              </w:rPr>
              <w:t>Numri i fushatave ndërgjegjësuese të realizuara mbi çështjet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A23C4A" w:rsidP="00496B6C">
            <w:pPr>
              <w:jc w:val="center"/>
              <w:rPr>
                <w:rFonts w:eastAsia="Times New Roman"/>
                <w:lang w:val="en-US" w:eastAsia="en-US"/>
              </w:rPr>
            </w:pPr>
            <w:r w:rsidRPr="00A23C4A">
              <w:rPr>
                <w:rFonts w:eastAsia="Times New Roman"/>
                <w:sz w:val="22"/>
                <w:szCs w:val="22"/>
                <w:lang w:val="en-US" w:eastAsia="en-US"/>
              </w:rPr>
              <w:t>11.7 Ndërtimi i një shoqërie më gjithëpërfshirëse</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Ndërgjegjësimi i publikut dhe krijimi i një mjedisi pranues për LGBTI+</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A23C4A" w:rsidP="00496B6C">
            <w:pPr>
              <w:jc w:val="center"/>
              <w:rPr>
                <w:rFonts w:eastAsia="Times New Roman"/>
                <w:color w:val="000000"/>
                <w:lang w:val="en-US" w:eastAsia="en-US"/>
              </w:rPr>
            </w:pPr>
            <w:r>
              <w:rPr>
                <w:rFonts w:eastAsia="Times New Roman"/>
                <w:color w:val="000000"/>
                <w:sz w:val="22"/>
                <w:szCs w:val="22"/>
                <w:lang w:val="en-US" w:eastAsia="en-US"/>
              </w:rPr>
              <w:t>Objektivi specifik III</w:t>
            </w:r>
            <w:r w:rsidR="00496B6C" w:rsidRPr="006042E9">
              <w:rPr>
                <w:rFonts w:eastAsia="Times New Roman"/>
                <w:color w:val="000000"/>
                <w:sz w:val="22"/>
                <w:szCs w:val="22"/>
                <w:lang w:val="en-US" w:eastAsia="en-US"/>
              </w:rPr>
              <w:t>.1. Edukimi i shoqërisë me parimet e barazisë, gjithëpërfshirjes dhe mosdiskriminimit kundrejt personave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MSHMS</w:t>
            </w:r>
          </w:p>
        </w:tc>
      </w:tr>
      <w:tr w:rsidR="00496B6C" w:rsidRPr="006042E9" w:rsidTr="006042E9">
        <w:trPr>
          <w:trHeight w:val="1020"/>
        </w:trPr>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masa</w:t>
            </w:r>
          </w:p>
        </w:tc>
        <w:tc>
          <w:tcPr>
            <w:tcW w:w="3372" w:type="dxa"/>
            <w:tcBorders>
              <w:top w:val="nil"/>
              <w:left w:val="nil"/>
              <w:bottom w:val="single" w:sz="4" w:space="0" w:color="auto"/>
              <w:right w:val="single" w:sz="4" w:space="0" w:color="auto"/>
            </w:tcBorders>
            <w:shd w:val="clear" w:color="auto" w:fill="auto"/>
            <w:vAlign w:val="center"/>
            <w:hideMark/>
          </w:tcPr>
          <w:p w:rsidR="00496B6C" w:rsidRPr="006042E9" w:rsidRDefault="00496B6C" w:rsidP="00757012">
            <w:pPr>
              <w:jc w:val="both"/>
              <w:rPr>
                <w:rFonts w:eastAsia="Times New Roman"/>
                <w:color w:val="000000"/>
                <w:lang w:val="en-US" w:eastAsia="en-US"/>
              </w:rPr>
            </w:pPr>
            <w:r w:rsidRPr="006042E9">
              <w:rPr>
                <w:rFonts w:eastAsia="Times New Roman"/>
                <w:color w:val="000000"/>
                <w:sz w:val="22"/>
                <w:szCs w:val="22"/>
                <w:lang w:val="en-US" w:eastAsia="en-US"/>
              </w:rPr>
              <w:t>Numri i instit</w:t>
            </w:r>
            <w:r w:rsidR="00A23C4A">
              <w:rPr>
                <w:rFonts w:eastAsia="Times New Roman"/>
                <w:color w:val="000000"/>
                <w:sz w:val="22"/>
                <w:szCs w:val="22"/>
                <w:lang w:val="en-US" w:eastAsia="en-US"/>
              </w:rPr>
              <w:t xml:space="preserve">ucioneve shtetërore qendrore e </w:t>
            </w:r>
            <w:r w:rsidRPr="006042E9">
              <w:rPr>
                <w:rFonts w:eastAsia="Times New Roman"/>
                <w:color w:val="000000"/>
                <w:sz w:val="22"/>
                <w:szCs w:val="22"/>
                <w:lang w:val="en-US" w:eastAsia="en-US"/>
              </w:rPr>
              <w:t>v</w:t>
            </w:r>
            <w:r w:rsidR="00A23C4A">
              <w:rPr>
                <w:rFonts w:eastAsia="Times New Roman"/>
                <w:color w:val="000000"/>
                <w:sz w:val="22"/>
                <w:szCs w:val="22"/>
                <w:lang w:val="en-US" w:eastAsia="en-US"/>
              </w:rPr>
              <w:t>e</w:t>
            </w:r>
            <w:r w:rsidRPr="006042E9">
              <w:rPr>
                <w:rFonts w:eastAsia="Times New Roman"/>
                <w:color w:val="000000"/>
                <w:sz w:val="22"/>
                <w:szCs w:val="22"/>
                <w:lang w:val="en-US" w:eastAsia="en-US"/>
              </w:rPr>
              <w:t>ndore që miratojnë politika të ndjeshme dhe jo diskriminuese për personat LGBTI+</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3. INVESTIMI NË KAPITAL NJERËZOR DHE KOHEZION SOCIAL</w:t>
            </w:r>
          </w:p>
        </w:tc>
        <w:tc>
          <w:tcPr>
            <w:tcW w:w="1999" w:type="dxa"/>
            <w:tcBorders>
              <w:top w:val="nil"/>
              <w:left w:val="nil"/>
              <w:bottom w:val="single" w:sz="4" w:space="0" w:color="auto"/>
              <w:right w:val="single" w:sz="4" w:space="0" w:color="auto"/>
            </w:tcBorders>
            <w:shd w:val="clear" w:color="FFFF00" w:fill="FFFFFF"/>
            <w:vAlign w:val="center"/>
            <w:hideMark/>
          </w:tcPr>
          <w:p w:rsidR="00496B6C" w:rsidRPr="006042E9" w:rsidRDefault="00A23C4A" w:rsidP="00496B6C">
            <w:pPr>
              <w:jc w:val="center"/>
              <w:rPr>
                <w:rFonts w:eastAsia="Times New Roman"/>
                <w:lang w:val="en-US" w:eastAsia="en-US"/>
              </w:rPr>
            </w:pPr>
            <w:r w:rsidRPr="00A23C4A">
              <w:rPr>
                <w:rFonts w:eastAsia="Times New Roman"/>
                <w:sz w:val="22"/>
                <w:szCs w:val="22"/>
                <w:lang w:val="en-US" w:eastAsia="en-US"/>
              </w:rPr>
              <w:t>11.7 Ndërtimi i një shoqërie më gjithëpërfshirëse</w:t>
            </w:r>
          </w:p>
        </w:tc>
        <w:tc>
          <w:tcPr>
            <w:tcW w:w="1691"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Punëdhënës më të ndjeshëm dhe jo-diskriminues</w:t>
            </w:r>
          </w:p>
        </w:tc>
        <w:tc>
          <w:tcPr>
            <w:tcW w:w="2268" w:type="dxa"/>
            <w:tcBorders>
              <w:top w:val="nil"/>
              <w:left w:val="nil"/>
              <w:bottom w:val="single" w:sz="4" w:space="0" w:color="auto"/>
              <w:right w:val="single" w:sz="4" w:space="0" w:color="auto"/>
            </w:tcBorders>
            <w:shd w:val="clear" w:color="FFFF00" w:fill="EBF1DE"/>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Objektivi specifik III.2.</w:t>
            </w:r>
            <w:r w:rsidR="00757012">
              <w:rPr>
                <w:rFonts w:eastAsia="Times New Roman"/>
                <w:color w:val="000000"/>
                <w:sz w:val="22"/>
                <w:szCs w:val="22"/>
                <w:lang w:val="en-US" w:eastAsia="en-US"/>
              </w:rPr>
              <w:t xml:space="preserve"> </w:t>
            </w:r>
            <w:r w:rsidRPr="006042E9">
              <w:rPr>
                <w:rFonts w:eastAsia="Times New Roman"/>
                <w:color w:val="000000"/>
                <w:sz w:val="22"/>
                <w:szCs w:val="22"/>
                <w:lang w:val="en-US" w:eastAsia="en-US"/>
              </w:rPr>
              <w:t>Përmirësimi i ndërgjegjësimit për çështjet LGBTI+ midis punëdhënësve publikë e privatë.</w:t>
            </w:r>
          </w:p>
        </w:tc>
        <w:tc>
          <w:tcPr>
            <w:tcW w:w="1710" w:type="dxa"/>
            <w:tcBorders>
              <w:top w:val="nil"/>
              <w:left w:val="nil"/>
              <w:bottom w:val="single" w:sz="4" w:space="0" w:color="auto"/>
              <w:right w:val="single" w:sz="4" w:space="0" w:color="auto"/>
            </w:tcBorders>
            <w:shd w:val="clear" w:color="FFFF00" w:fill="FFFFFF"/>
            <w:vAlign w:val="center"/>
            <w:hideMark/>
          </w:tcPr>
          <w:p w:rsidR="00496B6C" w:rsidRPr="006042E9" w:rsidRDefault="00496B6C" w:rsidP="00496B6C">
            <w:pPr>
              <w:jc w:val="center"/>
              <w:rPr>
                <w:rFonts w:eastAsia="Times New Roman"/>
                <w:color w:val="000000"/>
                <w:lang w:val="en-US" w:eastAsia="en-US"/>
              </w:rPr>
            </w:pPr>
            <w:r w:rsidRPr="006042E9">
              <w:rPr>
                <w:rFonts w:eastAsia="Times New Roman"/>
                <w:color w:val="000000"/>
                <w:sz w:val="22"/>
                <w:szCs w:val="22"/>
                <w:lang w:val="en-US" w:eastAsia="en-US"/>
              </w:rPr>
              <w:t>MSHMS</w:t>
            </w:r>
          </w:p>
        </w:tc>
      </w:tr>
    </w:tbl>
    <w:p w:rsidR="00A55416" w:rsidRDefault="00A55416" w:rsidP="00A55416"/>
    <w:p w:rsidR="00496B6C" w:rsidRDefault="00496B6C" w:rsidP="00A55416"/>
    <w:p w:rsidR="00496B6C" w:rsidRDefault="00496B6C" w:rsidP="00A55416"/>
    <w:p w:rsidR="004B3AD0" w:rsidRDefault="004B3AD0" w:rsidP="00BF02E2">
      <w:pPr>
        <w:autoSpaceDE w:val="0"/>
        <w:autoSpaceDN w:val="0"/>
        <w:adjustRightInd w:val="0"/>
        <w:spacing w:line="276" w:lineRule="auto"/>
        <w:jc w:val="both"/>
      </w:pPr>
    </w:p>
    <w:p w:rsidR="004B3AD0" w:rsidRDefault="004B3AD0" w:rsidP="00BF02E2">
      <w:pPr>
        <w:autoSpaceDE w:val="0"/>
        <w:autoSpaceDN w:val="0"/>
        <w:adjustRightInd w:val="0"/>
        <w:spacing w:line="276" w:lineRule="auto"/>
        <w:jc w:val="both"/>
      </w:pPr>
    </w:p>
    <w:p w:rsidR="004B3AD0" w:rsidRDefault="004B3AD0" w:rsidP="00BF02E2">
      <w:pPr>
        <w:autoSpaceDE w:val="0"/>
        <w:autoSpaceDN w:val="0"/>
        <w:adjustRightInd w:val="0"/>
        <w:spacing w:line="276" w:lineRule="auto"/>
        <w:jc w:val="both"/>
      </w:pPr>
    </w:p>
    <w:p w:rsidR="00C70695" w:rsidRDefault="00C70695" w:rsidP="00BF02E2">
      <w:pPr>
        <w:autoSpaceDE w:val="0"/>
        <w:autoSpaceDN w:val="0"/>
        <w:adjustRightInd w:val="0"/>
        <w:spacing w:line="276" w:lineRule="auto"/>
        <w:jc w:val="both"/>
      </w:pPr>
    </w:p>
    <w:p w:rsidR="00C70695" w:rsidRDefault="00C70695" w:rsidP="00BF02E2">
      <w:pPr>
        <w:autoSpaceDE w:val="0"/>
        <w:autoSpaceDN w:val="0"/>
        <w:adjustRightInd w:val="0"/>
        <w:spacing w:line="276" w:lineRule="auto"/>
        <w:jc w:val="both"/>
      </w:pPr>
    </w:p>
    <w:p w:rsidR="00C70695" w:rsidRDefault="00C70695" w:rsidP="00BF02E2">
      <w:pPr>
        <w:autoSpaceDE w:val="0"/>
        <w:autoSpaceDN w:val="0"/>
        <w:adjustRightInd w:val="0"/>
        <w:spacing w:line="276" w:lineRule="auto"/>
        <w:jc w:val="both"/>
      </w:pPr>
    </w:p>
    <w:p w:rsidR="00C70695" w:rsidRDefault="00C70695" w:rsidP="00BF02E2">
      <w:pPr>
        <w:autoSpaceDE w:val="0"/>
        <w:autoSpaceDN w:val="0"/>
        <w:adjustRightInd w:val="0"/>
        <w:spacing w:line="276" w:lineRule="auto"/>
        <w:jc w:val="both"/>
      </w:pPr>
    </w:p>
    <w:p w:rsidR="004B3AD0" w:rsidRDefault="004B3AD0" w:rsidP="00BF02E2">
      <w:pPr>
        <w:autoSpaceDE w:val="0"/>
        <w:autoSpaceDN w:val="0"/>
        <w:adjustRightInd w:val="0"/>
        <w:spacing w:line="276" w:lineRule="auto"/>
        <w:jc w:val="both"/>
      </w:pPr>
    </w:p>
    <w:p w:rsidR="004B3AD0" w:rsidRDefault="004B3AD0" w:rsidP="00BF02E2">
      <w:pPr>
        <w:autoSpaceDE w:val="0"/>
        <w:autoSpaceDN w:val="0"/>
        <w:adjustRightInd w:val="0"/>
        <w:spacing w:line="276" w:lineRule="auto"/>
        <w:jc w:val="both"/>
      </w:pPr>
    </w:p>
    <w:p w:rsidR="004B3AD0" w:rsidRDefault="004B3AD0" w:rsidP="00BF02E2">
      <w:pPr>
        <w:autoSpaceDE w:val="0"/>
        <w:autoSpaceDN w:val="0"/>
        <w:adjustRightInd w:val="0"/>
        <w:spacing w:line="276" w:lineRule="auto"/>
        <w:jc w:val="both"/>
      </w:pPr>
    </w:p>
    <w:p w:rsidR="002F3CB8" w:rsidRPr="00652C12" w:rsidRDefault="006D1605" w:rsidP="00652C12">
      <w:pPr>
        <w:pStyle w:val="Heading1"/>
        <w:shd w:val="clear" w:color="auto" w:fill="99FFCC"/>
        <w:spacing w:before="0" w:after="0" w:line="276" w:lineRule="auto"/>
        <w:rPr>
          <w:rFonts w:ascii="Times New Roman" w:hAnsi="Times New Roman"/>
          <w:color w:val="FF00FF"/>
          <w:sz w:val="24"/>
          <w:szCs w:val="24"/>
        </w:rPr>
      </w:pPr>
      <w:bookmarkStart w:id="47" w:name="_Toc79509637"/>
      <w:r w:rsidRPr="00652C12">
        <w:rPr>
          <w:rFonts w:ascii="Times New Roman" w:hAnsi="Times New Roman"/>
          <w:color w:val="FF00FF"/>
          <w:sz w:val="24"/>
          <w:szCs w:val="24"/>
        </w:rPr>
        <w:lastRenderedPageBreak/>
        <w:t xml:space="preserve">ANEKS </w:t>
      </w:r>
      <w:r w:rsidR="00AF180D" w:rsidRPr="00652C12">
        <w:rPr>
          <w:rFonts w:ascii="Times New Roman" w:hAnsi="Times New Roman"/>
          <w:color w:val="FF00FF"/>
          <w:sz w:val="24"/>
          <w:szCs w:val="24"/>
        </w:rPr>
        <w:t>4</w:t>
      </w:r>
      <w:r w:rsidR="002F3CB8" w:rsidRPr="00652C12">
        <w:rPr>
          <w:rFonts w:ascii="Times New Roman" w:hAnsi="Times New Roman"/>
          <w:color w:val="FF00FF"/>
          <w:sz w:val="24"/>
          <w:szCs w:val="24"/>
        </w:rPr>
        <w:t>. LOGJIKA E NDËRHYRJES, INSTITUCIONET PËRGJEGJËSE, AFATET KOHORE</w:t>
      </w:r>
      <w:bookmarkEnd w:id="47"/>
    </w:p>
    <w:p w:rsidR="00006118" w:rsidRDefault="00006118" w:rsidP="00BF02E2">
      <w:pPr>
        <w:spacing w:line="276" w:lineRule="auto"/>
      </w:pPr>
    </w:p>
    <w:tbl>
      <w:tblPr>
        <w:tblStyle w:val="TableGrid"/>
        <w:tblW w:w="15727" w:type="dxa"/>
        <w:tblInd w:w="-702" w:type="dxa"/>
        <w:tblLayout w:type="fixed"/>
        <w:tblLook w:val="04A0"/>
      </w:tblPr>
      <w:tblGrid>
        <w:gridCol w:w="2067"/>
        <w:gridCol w:w="471"/>
        <w:gridCol w:w="72"/>
        <w:gridCol w:w="90"/>
        <w:gridCol w:w="4608"/>
        <w:gridCol w:w="2067"/>
        <w:gridCol w:w="2055"/>
        <w:gridCol w:w="12"/>
        <w:gridCol w:w="2508"/>
        <w:gridCol w:w="12"/>
        <w:gridCol w:w="1765"/>
      </w:tblGrid>
      <w:tr w:rsidR="00006118" w:rsidRPr="00265B92" w:rsidTr="00BA6EFB">
        <w:trPr>
          <w:trHeight w:val="341"/>
        </w:trPr>
        <w:tc>
          <w:tcPr>
            <w:tcW w:w="15727" w:type="dxa"/>
            <w:gridSpan w:val="11"/>
            <w:shd w:val="clear" w:color="auto" w:fill="E36C0A" w:themeFill="accent6" w:themeFillShade="BF"/>
          </w:tcPr>
          <w:p w:rsidR="00006118" w:rsidRPr="0005701D" w:rsidRDefault="00006118" w:rsidP="008C1AE4">
            <w:pPr>
              <w:jc w:val="center"/>
              <w:rPr>
                <w:b/>
                <w:color w:val="FFFFFF" w:themeColor="background1"/>
                <w:sz w:val="22"/>
                <w:szCs w:val="22"/>
              </w:rPr>
            </w:pPr>
            <w:bookmarkStart w:id="48" w:name="_Hlk68774241"/>
            <w:r w:rsidRPr="0005701D">
              <w:rPr>
                <w:b/>
                <w:color w:val="FFFFFF" w:themeColor="background1"/>
                <w:sz w:val="22"/>
                <w:szCs w:val="22"/>
              </w:rPr>
              <w:t>LOGJIKA E NDËRHYRJES</w:t>
            </w:r>
          </w:p>
        </w:tc>
      </w:tr>
      <w:tr w:rsidR="00006118" w:rsidRPr="00265B92" w:rsidTr="00BA6EFB">
        <w:tc>
          <w:tcPr>
            <w:tcW w:w="2538" w:type="dxa"/>
            <w:gridSpan w:val="2"/>
            <w:shd w:val="clear" w:color="auto" w:fill="FABF8F" w:themeFill="accent6" w:themeFillTint="99"/>
          </w:tcPr>
          <w:p w:rsidR="00006118" w:rsidRPr="0005701D" w:rsidRDefault="00006118" w:rsidP="008C1AE4">
            <w:pPr>
              <w:jc w:val="both"/>
              <w:rPr>
                <w:b/>
                <w:sz w:val="22"/>
                <w:szCs w:val="22"/>
              </w:rPr>
            </w:pPr>
            <w:r w:rsidRPr="0005701D">
              <w:rPr>
                <w:b/>
                <w:sz w:val="22"/>
                <w:szCs w:val="22"/>
              </w:rPr>
              <w:t>Qëllim</w:t>
            </w:r>
            <w:r w:rsidR="00130522" w:rsidRPr="0005701D">
              <w:rPr>
                <w:b/>
                <w:sz w:val="22"/>
                <w:szCs w:val="22"/>
              </w:rPr>
              <w:t xml:space="preserve">i </w:t>
            </w:r>
            <w:r w:rsidR="007A1B9A" w:rsidRPr="0005701D">
              <w:rPr>
                <w:b/>
                <w:sz w:val="22"/>
                <w:szCs w:val="22"/>
              </w:rPr>
              <w:t>Strategjik</w:t>
            </w:r>
            <w:r w:rsidRPr="0005701D">
              <w:rPr>
                <w:b/>
                <w:bCs/>
                <w:sz w:val="22"/>
                <w:szCs w:val="22"/>
              </w:rPr>
              <w:t xml:space="preserve"> </w:t>
            </w:r>
            <w:r w:rsidR="00B306E5" w:rsidRPr="0005701D">
              <w:rPr>
                <w:b/>
                <w:sz w:val="22"/>
                <w:szCs w:val="22"/>
              </w:rPr>
              <w:t>I</w:t>
            </w:r>
            <w:r w:rsidRPr="0005701D">
              <w:rPr>
                <w:b/>
                <w:sz w:val="22"/>
                <w:szCs w:val="22"/>
              </w:rPr>
              <w:t xml:space="preserve">: </w:t>
            </w:r>
          </w:p>
        </w:tc>
        <w:tc>
          <w:tcPr>
            <w:tcW w:w="13189" w:type="dxa"/>
            <w:gridSpan w:val="9"/>
            <w:shd w:val="clear" w:color="auto" w:fill="FABF8F" w:themeFill="accent6" w:themeFillTint="99"/>
          </w:tcPr>
          <w:p w:rsidR="00F0503F" w:rsidRPr="0005701D" w:rsidRDefault="00B306E5" w:rsidP="0005701D">
            <w:pPr>
              <w:jc w:val="both"/>
              <w:rPr>
                <w:b/>
                <w:bCs/>
                <w:sz w:val="22"/>
                <w:szCs w:val="22"/>
              </w:rPr>
            </w:pPr>
            <w:r w:rsidRPr="0005701D">
              <w:rPr>
                <w:b/>
                <w:sz w:val="22"/>
                <w:szCs w:val="22"/>
              </w:rPr>
              <w:t xml:space="preserve">Përmirësimi i aksesit të personave LGBTI+ në </w:t>
            </w:r>
            <w:r w:rsidR="00F0503F" w:rsidRPr="0005701D">
              <w:rPr>
                <w:b/>
                <w:bCs/>
                <w:sz w:val="22"/>
                <w:szCs w:val="22"/>
              </w:rPr>
              <w:t>shërbim</w:t>
            </w:r>
            <w:r w:rsidR="00D801CC" w:rsidRPr="0005701D">
              <w:rPr>
                <w:b/>
                <w:bCs/>
                <w:sz w:val="22"/>
                <w:szCs w:val="22"/>
              </w:rPr>
              <w:t>e</w:t>
            </w:r>
            <w:r w:rsidR="00F0503F" w:rsidRPr="0005701D">
              <w:rPr>
                <w:b/>
                <w:bCs/>
                <w:sz w:val="22"/>
                <w:szCs w:val="22"/>
              </w:rPr>
              <w:t xml:space="preserve"> publik</w:t>
            </w:r>
            <w:r w:rsidR="00D801CC" w:rsidRPr="0005701D">
              <w:rPr>
                <w:b/>
                <w:bCs/>
                <w:sz w:val="22"/>
                <w:szCs w:val="22"/>
              </w:rPr>
              <w:t>e</w:t>
            </w:r>
            <w:r w:rsidR="00F0503F" w:rsidRPr="0005701D">
              <w:rPr>
                <w:b/>
                <w:bCs/>
                <w:sz w:val="22"/>
                <w:szCs w:val="22"/>
              </w:rPr>
              <w:t xml:space="preserve"> </w:t>
            </w:r>
            <w:r w:rsidRPr="0005701D">
              <w:rPr>
                <w:b/>
                <w:bCs/>
                <w:sz w:val="22"/>
                <w:szCs w:val="22"/>
              </w:rPr>
              <w:t xml:space="preserve">dhe </w:t>
            </w:r>
            <w:r w:rsidRPr="0005701D">
              <w:rPr>
                <w:b/>
                <w:sz w:val="22"/>
                <w:szCs w:val="22"/>
              </w:rPr>
              <w:t xml:space="preserve">shërbime mbështetëse të specializuara efektive, cilësore dhe të disponueshme </w:t>
            </w:r>
            <w:r w:rsidR="006D3EF9" w:rsidRPr="0005701D">
              <w:rPr>
                <w:b/>
                <w:sz w:val="22"/>
                <w:szCs w:val="22"/>
              </w:rPr>
              <w:t xml:space="preserve">në </w:t>
            </w:r>
            <w:r w:rsidRPr="0005701D">
              <w:rPr>
                <w:b/>
                <w:sz w:val="22"/>
                <w:szCs w:val="22"/>
              </w:rPr>
              <w:t>mbarë vendin</w:t>
            </w:r>
            <w:r w:rsidR="006D3EF9" w:rsidRPr="0005701D">
              <w:rPr>
                <w:b/>
                <w:sz w:val="22"/>
                <w:szCs w:val="22"/>
              </w:rPr>
              <w:t>,</w:t>
            </w:r>
            <w:r w:rsidR="006D3EF9" w:rsidRPr="0005701D">
              <w:rPr>
                <w:bCs/>
                <w:sz w:val="22"/>
                <w:szCs w:val="22"/>
              </w:rPr>
              <w:t xml:space="preserve"> </w:t>
            </w:r>
            <w:r w:rsidR="00F0503F" w:rsidRPr="0005701D">
              <w:rPr>
                <w:b/>
                <w:bCs/>
                <w:sz w:val="22"/>
                <w:szCs w:val="22"/>
              </w:rPr>
              <w:t xml:space="preserve">në përputhje me </w:t>
            </w:r>
            <w:r w:rsidRPr="0005701D">
              <w:rPr>
                <w:b/>
                <w:sz w:val="22"/>
                <w:szCs w:val="22"/>
              </w:rPr>
              <w:t xml:space="preserve">nevojat specfike të tyre </w:t>
            </w:r>
            <w:r w:rsidR="00F0503F" w:rsidRPr="0005701D">
              <w:rPr>
                <w:b/>
                <w:bCs/>
                <w:sz w:val="22"/>
                <w:szCs w:val="22"/>
              </w:rPr>
              <w:t xml:space="preserve">dhe </w:t>
            </w:r>
            <w:r w:rsidRPr="0005701D">
              <w:rPr>
                <w:b/>
                <w:bCs/>
                <w:sz w:val="22"/>
                <w:szCs w:val="22"/>
              </w:rPr>
              <w:t xml:space="preserve">me </w:t>
            </w:r>
            <w:r w:rsidR="00F0503F" w:rsidRPr="0005701D">
              <w:rPr>
                <w:b/>
                <w:bCs/>
                <w:sz w:val="22"/>
                <w:szCs w:val="22"/>
              </w:rPr>
              <w:t xml:space="preserve">standarde </w:t>
            </w:r>
            <w:r w:rsidRPr="0005701D">
              <w:rPr>
                <w:b/>
                <w:sz w:val="22"/>
                <w:szCs w:val="22"/>
              </w:rPr>
              <w:t xml:space="preserve">kombëtare të harmonizuara </w:t>
            </w:r>
            <w:r w:rsidRPr="0005701D">
              <w:rPr>
                <w:b/>
                <w:bCs/>
                <w:sz w:val="22"/>
                <w:szCs w:val="22"/>
              </w:rPr>
              <w:t xml:space="preserve">me ato </w:t>
            </w:r>
            <w:r w:rsidR="00F0503F" w:rsidRPr="0005701D">
              <w:rPr>
                <w:b/>
                <w:bCs/>
                <w:sz w:val="22"/>
                <w:szCs w:val="22"/>
              </w:rPr>
              <w:t>evropiane</w:t>
            </w:r>
            <w:r w:rsidRPr="0005701D">
              <w:rPr>
                <w:b/>
                <w:bCs/>
                <w:sz w:val="22"/>
                <w:szCs w:val="22"/>
              </w:rPr>
              <w:t>/ndërkombëtare</w:t>
            </w:r>
            <w:r w:rsidR="00F0503F" w:rsidRPr="0005701D">
              <w:rPr>
                <w:b/>
                <w:bCs/>
                <w:sz w:val="22"/>
                <w:szCs w:val="22"/>
              </w:rPr>
              <w:t>.</w:t>
            </w:r>
          </w:p>
          <w:p w:rsidR="00006118" w:rsidRPr="0005701D" w:rsidRDefault="00006118" w:rsidP="008C1AE4">
            <w:pPr>
              <w:jc w:val="both"/>
              <w:rPr>
                <w:b/>
                <w:sz w:val="22"/>
                <w:szCs w:val="22"/>
              </w:rPr>
            </w:pPr>
          </w:p>
        </w:tc>
      </w:tr>
      <w:tr w:rsidR="00006118" w:rsidRPr="00265B92" w:rsidTr="00BA6EFB">
        <w:tc>
          <w:tcPr>
            <w:tcW w:w="2538" w:type="dxa"/>
            <w:gridSpan w:val="2"/>
            <w:shd w:val="clear" w:color="auto" w:fill="FBD4B4" w:themeFill="accent6" w:themeFillTint="66"/>
          </w:tcPr>
          <w:p w:rsidR="00006118" w:rsidRPr="0005701D" w:rsidRDefault="00006118" w:rsidP="008C1AE4">
            <w:pPr>
              <w:jc w:val="both"/>
              <w:rPr>
                <w:b/>
                <w:sz w:val="22"/>
                <w:szCs w:val="22"/>
              </w:rPr>
            </w:pPr>
            <w:r w:rsidRPr="0005701D">
              <w:rPr>
                <w:b/>
                <w:sz w:val="22"/>
                <w:szCs w:val="22"/>
              </w:rPr>
              <w:t xml:space="preserve">Objektivi specifik I.1: </w:t>
            </w:r>
          </w:p>
        </w:tc>
        <w:tc>
          <w:tcPr>
            <w:tcW w:w="13189" w:type="dxa"/>
            <w:gridSpan w:val="9"/>
            <w:shd w:val="clear" w:color="auto" w:fill="FBD4B4" w:themeFill="accent6" w:themeFillTint="66"/>
          </w:tcPr>
          <w:p w:rsidR="00006118" w:rsidRPr="0005701D" w:rsidRDefault="00B306E5" w:rsidP="008C1AE4">
            <w:pPr>
              <w:jc w:val="both"/>
              <w:rPr>
                <w:b/>
                <w:bCs/>
                <w:sz w:val="22"/>
                <w:szCs w:val="22"/>
              </w:rPr>
            </w:pPr>
            <w:r w:rsidRPr="0005701D">
              <w:rPr>
                <w:b/>
                <w:bCs/>
                <w:sz w:val="22"/>
                <w:szCs w:val="22"/>
              </w:rPr>
              <w:t>Ofrimi i sh</w:t>
            </w:r>
            <w:r w:rsidR="00774E87">
              <w:rPr>
                <w:b/>
                <w:bCs/>
                <w:sz w:val="22"/>
                <w:szCs w:val="22"/>
              </w:rPr>
              <w:t>ë</w:t>
            </w:r>
            <w:r w:rsidRPr="0005701D">
              <w:rPr>
                <w:b/>
                <w:bCs/>
                <w:sz w:val="22"/>
                <w:szCs w:val="22"/>
              </w:rPr>
              <w:t>rbimeve t</w:t>
            </w:r>
            <w:r w:rsidR="00774E87">
              <w:rPr>
                <w:b/>
                <w:bCs/>
                <w:sz w:val="22"/>
                <w:szCs w:val="22"/>
              </w:rPr>
              <w:t>ë</w:t>
            </w:r>
            <w:r w:rsidRPr="0005701D">
              <w:rPr>
                <w:b/>
                <w:bCs/>
                <w:sz w:val="22"/>
                <w:szCs w:val="22"/>
              </w:rPr>
              <w:t xml:space="preserve"> p</w:t>
            </w:r>
            <w:r w:rsidR="00774E87">
              <w:rPr>
                <w:b/>
                <w:bCs/>
                <w:sz w:val="22"/>
                <w:szCs w:val="22"/>
              </w:rPr>
              <w:t>ë</w:t>
            </w:r>
            <w:r w:rsidRPr="0005701D">
              <w:rPr>
                <w:b/>
                <w:bCs/>
                <w:sz w:val="22"/>
                <w:szCs w:val="22"/>
              </w:rPr>
              <w:t>rkujdesit shoq</w:t>
            </w:r>
            <w:r w:rsidR="00774E87">
              <w:rPr>
                <w:b/>
                <w:bCs/>
                <w:sz w:val="22"/>
                <w:szCs w:val="22"/>
              </w:rPr>
              <w:t>ë</w:t>
            </w:r>
            <w:r w:rsidRPr="0005701D">
              <w:rPr>
                <w:b/>
                <w:bCs/>
                <w:sz w:val="22"/>
                <w:szCs w:val="22"/>
              </w:rPr>
              <w:t>ror cil</w:t>
            </w:r>
            <w:r w:rsidR="00774E87">
              <w:rPr>
                <w:b/>
                <w:bCs/>
                <w:sz w:val="22"/>
                <w:szCs w:val="22"/>
              </w:rPr>
              <w:t>ë</w:t>
            </w:r>
            <w:r w:rsidRPr="0005701D">
              <w:rPr>
                <w:b/>
                <w:bCs/>
                <w:sz w:val="22"/>
                <w:szCs w:val="22"/>
              </w:rPr>
              <w:t>sore dhe miq</w:t>
            </w:r>
            <w:r w:rsidR="00774E87">
              <w:rPr>
                <w:b/>
                <w:bCs/>
                <w:sz w:val="22"/>
                <w:szCs w:val="22"/>
              </w:rPr>
              <w:t>ë</w:t>
            </w:r>
            <w:r w:rsidRPr="0005701D">
              <w:rPr>
                <w:b/>
                <w:bCs/>
                <w:sz w:val="22"/>
                <w:szCs w:val="22"/>
              </w:rPr>
              <w:t>sore ndaj personave LGBTI+</w:t>
            </w:r>
          </w:p>
          <w:p w:rsidR="00B306E5" w:rsidRPr="0005701D" w:rsidRDefault="00B306E5" w:rsidP="008C1AE4">
            <w:pPr>
              <w:jc w:val="both"/>
              <w:rPr>
                <w:b/>
                <w:bCs/>
                <w:sz w:val="22"/>
                <w:szCs w:val="22"/>
              </w:rPr>
            </w:pPr>
          </w:p>
        </w:tc>
      </w:tr>
      <w:tr w:rsidR="00006118" w:rsidRPr="00265B92" w:rsidTr="00BA6EFB">
        <w:tc>
          <w:tcPr>
            <w:tcW w:w="2538" w:type="dxa"/>
            <w:gridSpan w:val="2"/>
            <w:shd w:val="clear" w:color="auto" w:fill="FDE9D9" w:themeFill="accent6" w:themeFillTint="33"/>
          </w:tcPr>
          <w:p w:rsidR="00006118" w:rsidRPr="0005701D" w:rsidRDefault="00006118" w:rsidP="008C1AE4">
            <w:pPr>
              <w:rPr>
                <w:b/>
                <w:sz w:val="22"/>
                <w:szCs w:val="22"/>
                <w:u w:val="single"/>
              </w:rPr>
            </w:pPr>
            <w:r w:rsidRPr="0005701D">
              <w:rPr>
                <w:b/>
                <w:sz w:val="22"/>
                <w:szCs w:val="22"/>
                <w:u w:val="single"/>
              </w:rPr>
              <w:t xml:space="preserve">Rezultatet e pritshme: </w:t>
            </w:r>
          </w:p>
          <w:p w:rsidR="00006118" w:rsidRPr="0005701D" w:rsidRDefault="00006118" w:rsidP="008C1AE4">
            <w:pPr>
              <w:rPr>
                <w:sz w:val="22"/>
                <w:szCs w:val="22"/>
                <w:lang w:val="en-US"/>
              </w:rPr>
            </w:pPr>
          </w:p>
        </w:tc>
        <w:tc>
          <w:tcPr>
            <w:tcW w:w="13189" w:type="dxa"/>
            <w:gridSpan w:val="9"/>
            <w:shd w:val="clear" w:color="auto" w:fill="FDE9D9" w:themeFill="accent6" w:themeFillTint="33"/>
          </w:tcPr>
          <w:p w:rsidR="002E45B7" w:rsidRDefault="00B306E5" w:rsidP="0005701D">
            <w:pPr>
              <w:ind w:left="211" w:hanging="180"/>
              <w:jc w:val="both"/>
              <w:rPr>
                <w:bCs/>
                <w:sz w:val="22"/>
                <w:szCs w:val="22"/>
              </w:rPr>
            </w:pPr>
            <w:r w:rsidRPr="0005701D">
              <w:rPr>
                <w:bCs/>
                <w:sz w:val="22"/>
                <w:szCs w:val="22"/>
              </w:rPr>
              <w:t>i</w:t>
            </w:r>
            <w:r w:rsidR="0098152B" w:rsidRPr="0005701D">
              <w:rPr>
                <w:bCs/>
                <w:sz w:val="22"/>
                <w:szCs w:val="22"/>
              </w:rPr>
              <w:t>.</w:t>
            </w:r>
            <w:r w:rsidR="002E45B7" w:rsidRPr="0005701D">
              <w:rPr>
                <w:bCs/>
                <w:sz w:val="22"/>
                <w:szCs w:val="22"/>
              </w:rPr>
              <w:t xml:space="preserve"> Sh</w:t>
            </w:r>
            <w:r w:rsidR="00774E87">
              <w:rPr>
                <w:bCs/>
                <w:sz w:val="22"/>
                <w:szCs w:val="22"/>
              </w:rPr>
              <w:t>ë</w:t>
            </w:r>
            <w:r w:rsidR="002E45B7" w:rsidRPr="0005701D">
              <w:rPr>
                <w:bCs/>
                <w:sz w:val="22"/>
                <w:szCs w:val="22"/>
              </w:rPr>
              <w:t>rbim</w:t>
            </w:r>
            <w:r w:rsidR="00914AAB" w:rsidRPr="0005701D">
              <w:rPr>
                <w:bCs/>
                <w:sz w:val="22"/>
                <w:szCs w:val="22"/>
              </w:rPr>
              <w:t>e mb</w:t>
            </w:r>
            <w:r w:rsidR="00774E87">
              <w:rPr>
                <w:bCs/>
                <w:sz w:val="22"/>
                <w:szCs w:val="22"/>
              </w:rPr>
              <w:t>ë</w:t>
            </w:r>
            <w:r w:rsidR="00914AAB" w:rsidRPr="0005701D">
              <w:rPr>
                <w:bCs/>
                <w:sz w:val="22"/>
                <w:szCs w:val="22"/>
              </w:rPr>
              <w:t>shtet</w:t>
            </w:r>
            <w:r w:rsidR="00774E87">
              <w:rPr>
                <w:bCs/>
                <w:sz w:val="22"/>
                <w:szCs w:val="22"/>
              </w:rPr>
              <w:t>ë</w:t>
            </w:r>
            <w:r w:rsidR="00914AAB" w:rsidRPr="0005701D">
              <w:rPr>
                <w:bCs/>
                <w:sz w:val="22"/>
                <w:szCs w:val="22"/>
              </w:rPr>
              <w:t>se t</w:t>
            </w:r>
            <w:r w:rsidR="00774E87">
              <w:rPr>
                <w:bCs/>
                <w:sz w:val="22"/>
                <w:szCs w:val="22"/>
              </w:rPr>
              <w:t>ë</w:t>
            </w:r>
            <w:r w:rsidR="00914AAB" w:rsidRPr="0005701D">
              <w:rPr>
                <w:bCs/>
                <w:sz w:val="22"/>
                <w:szCs w:val="22"/>
              </w:rPr>
              <w:t xml:space="preserve"> specializuara t</w:t>
            </w:r>
            <w:r w:rsidR="00774E87">
              <w:rPr>
                <w:bCs/>
                <w:sz w:val="22"/>
                <w:szCs w:val="22"/>
              </w:rPr>
              <w:t>ë</w:t>
            </w:r>
            <w:r w:rsidR="00914AAB" w:rsidRPr="0005701D">
              <w:rPr>
                <w:bCs/>
                <w:sz w:val="22"/>
                <w:szCs w:val="22"/>
              </w:rPr>
              <w:t xml:space="preserve"> aksesueshme dhe disponueshme edhe nga personat LGBTI+ n</w:t>
            </w:r>
            <w:r w:rsidR="00774E87">
              <w:rPr>
                <w:bCs/>
                <w:sz w:val="22"/>
                <w:szCs w:val="22"/>
              </w:rPr>
              <w:t>ë</w:t>
            </w:r>
            <w:r w:rsidR="00914AAB" w:rsidRPr="0005701D">
              <w:rPr>
                <w:bCs/>
                <w:sz w:val="22"/>
                <w:szCs w:val="22"/>
              </w:rPr>
              <w:t xml:space="preserve"> mbar</w:t>
            </w:r>
            <w:r w:rsidR="00774E87">
              <w:rPr>
                <w:bCs/>
                <w:sz w:val="22"/>
                <w:szCs w:val="22"/>
              </w:rPr>
              <w:t>ë</w:t>
            </w:r>
            <w:r w:rsidR="00F90313">
              <w:rPr>
                <w:bCs/>
                <w:sz w:val="22"/>
                <w:szCs w:val="22"/>
              </w:rPr>
              <w:t xml:space="preserve"> vendi.</w:t>
            </w:r>
          </w:p>
          <w:p w:rsidR="00DC7F71" w:rsidRPr="0005701D" w:rsidRDefault="00DC7F71" w:rsidP="0005701D">
            <w:pPr>
              <w:ind w:left="211" w:hanging="180"/>
              <w:jc w:val="both"/>
              <w:rPr>
                <w:bCs/>
                <w:sz w:val="22"/>
                <w:szCs w:val="22"/>
              </w:rPr>
            </w:pPr>
          </w:p>
          <w:p w:rsidR="00006118" w:rsidRPr="0005701D" w:rsidRDefault="00914AAB" w:rsidP="0005701D">
            <w:pPr>
              <w:ind w:left="211" w:hanging="211"/>
              <w:jc w:val="both"/>
              <w:rPr>
                <w:sz w:val="22"/>
                <w:szCs w:val="22"/>
                <w:lang w:val="en-US"/>
              </w:rPr>
            </w:pPr>
            <w:r w:rsidRPr="0005701D">
              <w:rPr>
                <w:bCs/>
                <w:sz w:val="22"/>
                <w:szCs w:val="22"/>
              </w:rPr>
              <w:t>ii. Profesioniste dhe profesionist</w:t>
            </w:r>
            <w:r w:rsidR="00774E87">
              <w:rPr>
                <w:bCs/>
                <w:sz w:val="22"/>
                <w:szCs w:val="22"/>
              </w:rPr>
              <w:t>ë</w:t>
            </w:r>
            <w:r w:rsidRPr="0005701D">
              <w:rPr>
                <w:bCs/>
                <w:sz w:val="22"/>
                <w:szCs w:val="22"/>
              </w:rPr>
              <w:t xml:space="preserve"> ofrues t</w:t>
            </w:r>
            <w:r w:rsidR="00774E87">
              <w:rPr>
                <w:bCs/>
                <w:sz w:val="22"/>
                <w:szCs w:val="22"/>
              </w:rPr>
              <w:t>ë</w:t>
            </w:r>
            <w:r w:rsidRPr="0005701D">
              <w:rPr>
                <w:bCs/>
                <w:sz w:val="22"/>
                <w:szCs w:val="22"/>
              </w:rPr>
              <w:t xml:space="preserve"> sh</w:t>
            </w:r>
            <w:r w:rsidR="00774E87">
              <w:rPr>
                <w:bCs/>
                <w:sz w:val="22"/>
                <w:szCs w:val="22"/>
              </w:rPr>
              <w:t>ë</w:t>
            </w:r>
            <w:r w:rsidRPr="0005701D">
              <w:rPr>
                <w:bCs/>
                <w:sz w:val="22"/>
                <w:szCs w:val="22"/>
              </w:rPr>
              <w:t>rbimeve t</w:t>
            </w:r>
            <w:r w:rsidR="00774E87">
              <w:rPr>
                <w:bCs/>
                <w:sz w:val="22"/>
                <w:szCs w:val="22"/>
              </w:rPr>
              <w:t>ë</w:t>
            </w:r>
            <w:r w:rsidRPr="0005701D">
              <w:rPr>
                <w:bCs/>
                <w:sz w:val="22"/>
                <w:szCs w:val="22"/>
              </w:rPr>
              <w:t xml:space="preserve"> p</w:t>
            </w:r>
            <w:r w:rsidR="00774E87">
              <w:rPr>
                <w:bCs/>
                <w:sz w:val="22"/>
                <w:szCs w:val="22"/>
              </w:rPr>
              <w:t>ë</w:t>
            </w:r>
            <w:r w:rsidRPr="0005701D">
              <w:rPr>
                <w:bCs/>
                <w:sz w:val="22"/>
                <w:szCs w:val="22"/>
              </w:rPr>
              <w:t>rkujdesit shoq</w:t>
            </w:r>
            <w:r w:rsidR="00774E87">
              <w:rPr>
                <w:bCs/>
                <w:sz w:val="22"/>
                <w:szCs w:val="22"/>
              </w:rPr>
              <w:t>ë</w:t>
            </w:r>
            <w:r w:rsidRPr="0005701D">
              <w:rPr>
                <w:bCs/>
                <w:sz w:val="22"/>
                <w:szCs w:val="22"/>
              </w:rPr>
              <w:t>ror t</w:t>
            </w:r>
            <w:r w:rsidR="00774E87">
              <w:rPr>
                <w:bCs/>
                <w:sz w:val="22"/>
                <w:szCs w:val="22"/>
              </w:rPr>
              <w:t>ë</w:t>
            </w:r>
            <w:r w:rsidRPr="0005701D">
              <w:rPr>
                <w:bCs/>
                <w:sz w:val="22"/>
                <w:szCs w:val="22"/>
              </w:rPr>
              <w:t xml:space="preserve"> nd</w:t>
            </w:r>
            <w:r w:rsidR="00774E87">
              <w:rPr>
                <w:bCs/>
                <w:sz w:val="22"/>
                <w:szCs w:val="22"/>
              </w:rPr>
              <w:t>ë</w:t>
            </w:r>
            <w:r w:rsidRPr="0005701D">
              <w:rPr>
                <w:bCs/>
                <w:sz w:val="22"/>
                <w:szCs w:val="22"/>
              </w:rPr>
              <w:t>rgjegj</w:t>
            </w:r>
            <w:r w:rsidR="00774E87">
              <w:rPr>
                <w:bCs/>
                <w:sz w:val="22"/>
                <w:szCs w:val="22"/>
              </w:rPr>
              <w:t>ë</w:t>
            </w:r>
            <w:r w:rsidRPr="0005701D">
              <w:rPr>
                <w:bCs/>
                <w:sz w:val="22"/>
                <w:szCs w:val="22"/>
              </w:rPr>
              <w:t>suar dhe t</w:t>
            </w:r>
            <w:r w:rsidR="00774E87">
              <w:rPr>
                <w:bCs/>
                <w:sz w:val="22"/>
                <w:szCs w:val="22"/>
              </w:rPr>
              <w:t>ë</w:t>
            </w:r>
            <w:r w:rsidRPr="0005701D">
              <w:rPr>
                <w:bCs/>
                <w:sz w:val="22"/>
                <w:szCs w:val="22"/>
              </w:rPr>
              <w:t xml:space="preserve"> gatsh</w:t>
            </w:r>
            <w:r w:rsidR="00774E87">
              <w:rPr>
                <w:bCs/>
                <w:sz w:val="22"/>
                <w:szCs w:val="22"/>
              </w:rPr>
              <w:t>ë</w:t>
            </w:r>
            <w:r w:rsidRPr="0005701D">
              <w:rPr>
                <w:bCs/>
                <w:sz w:val="22"/>
                <w:szCs w:val="22"/>
              </w:rPr>
              <w:t>m p</w:t>
            </w:r>
            <w:r w:rsidR="00774E87">
              <w:rPr>
                <w:bCs/>
                <w:sz w:val="22"/>
                <w:szCs w:val="22"/>
              </w:rPr>
              <w:t>ë</w:t>
            </w:r>
            <w:r w:rsidRPr="0005701D">
              <w:rPr>
                <w:bCs/>
                <w:sz w:val="22"/>
                <w:szCs w:val="22"/>
              </w:rPr>
              <w:t>r t</w:t>
            </w:r>
            <w:r w:rsidR="00774E87">
              <w:rPr>
                <w:bCs/>
                <w:sz w:val="22"/>
                <w:szCs w:val="22"/>
              </w:rPr>
              <w:t>ë</w:t>
            </w:r>
            <w:r w:rsidRPr="0005701D">
              <w:rPr>
                <w:bCs/>
                <w:sz w:val="22"/>
                <w:szCs w:val="22"/>
              </w:rPr>
              <w:t xml:space="preserve"> ofruar sh</w:t>
            </w:r>
            <w:r w:rsidR="00774E87">
              <w:rPr>
                <w:bCs/>
                <w:sz w:val="22"/>
                <w:szCs w:val="22"/>
              </w:rPr>
              <w:t>ë</w:t>
            </w:r>
            <w:r w:rsidRPr="0005701D">
              <w:rPr>
                <w:bCs/>
                <w:sz w:val="22"/>
                <w:szCs w:val="22"/>
              </w:rPr>
              <w:t>rbime miq</w:t>
            </w:r>
            <w:r w:rsidR="00774E87">
              <w:rPr>
                <w:bCs/>
                <w:sz w:val="22"/>
                <w:szCs w:val="22"/>
              </w:rPr>
              <w:t>ë</w:t>
            </w:r>
            <w:r w:rsidRPr="0005701D">
              <w:rPr>
                <w:bCs/>
                <w:sz w:val="22"/>
                <w:szCs w:val="22"/>
              </w:rPr>
              <w:t>sore dhe sipas standardeve p</w:t>
            </w:r>
            <w:r w:rsidR="00774E87">
              <w:rPr>
                <w:bCs/>
                <w:sz w:val="22"/>
                <w:szCs w:val="22"/>
              </w:rPr>
              <w:t>ë</w:t>
            </w:r>
            <w:r w:rsidRPr="0005701D">
              <w:rPr>
                <w:bCs/>
                <w:sz w:val="22"/>
                <w:szCs w:val="22"/>
              </w:rPr>
              <w:t>r personat LGBTI+</w:t>
            </w:r>
            <w:r w:rsidR="0098152B" w:rsidRPr="0005701D">
              <w:rPr>
                <w:bCs/>
                <w:sz w:val="22"/>
                <w:szCs w:val="22"/>
              </w:rPr>
              <w:t>.</w:t>
            </w:r>
          </w:p>
        </w:tc>
      </w:tr>
      <w:tr w:rsidR="00006118" w:rsidRPr="00265B92" w:rsidTr="00BA6EFB">
        <w:tc>
          <w:tcPr>
            <w:tcW w:w="2538" w:type="dxa"/>
            <w:gridSpan w:val="2"/>
            <w:shd w:val="clear" w:color="auto" w:fill="FDE9D9" w:themeFill="accent6" w:themeFillTint="33"/>
          </w:tcPr>
          <w:p w:rsidR="00006118" w:rsidRPr="0005701D" w:rsidRDefault="00006118" w:rsidP="008C1AE4">
            <w:pPr>
              <w:rPr>
                <w:b/>
                <w:sz w:val="22"/>
                <w:szCs w:val="22"/>
                <w:u w:val="single"/>
              </w:rPr>
            </w:pPr>
            <w:r w:rsidRPr="0005701D">
              <w:rPr>
                <w:b/>
                <w:sz w:val="22"/>
                <w:szCs w:val="22"/>
                <w:u w:val="single"/>
              </w:rPr>
              <w:t xml:space="preserve">Treguesit: </w:t>
            </w:r>
          </w:p>
        </w:tc>
        <w:tc>
          <w:tcPr>
            <w:tcW w:w="8892" w:type="dxa"/>
            <w:gridSpan w:val="5"/>
            <w:shd w:val="clear" w:color="auto" w:fill="FDE9D9" w:themeFill="accent6" w:themeFillTint="33"/>
          </w:tcPr>
          <w:p w:rsidR="00F423AA" w:rsidRPr="0005701D" w:rsidRDefault="00F423AA" w:rsidP="0005701D">
            <w:pPr>
              <w:ind w:left="571" w:hanging="571"/>
              <w:jc w:val="both"/>
              <w:rPr>
                <w:bCs/>
                <w:sz w:val="22"/>
                <w:szCs w:val="22"/>
              </w:rPr>
            </w:pPr>
          </w:p>
          <w:p w:rsidR="0098152B" w:rsidRPr="0005701D" w:rsidRDefault="00914AAB" w:rsidP="0005701D">
            <w:pPr>
              <w:jc w:val="both"/>
              <w:rPr>
                <w:bCs/>
                <w:sz w:val="22"/>
                <w:szCs w:val="22"/>
              </w:rPr>
            </w:pPr>
            <w:r w:rsidRPr="0005701D">
              <w:rPr>
                <w:bCs/>
                <w:sz w:val="22"/>
                <w:szCs w:val="22"/>
              </w:rPr>
              <w:t>I.1.a. Numri i sh</w:t>
            </w:r>
            <w:r w:rsidR="00774E87">
              <w:rPr>
                <w:bCs/>
                <w:sz w:val="22"/>
                <w:szCs w:val="22"/>
              </w:rPr>
              <w:t>ë</w:t>
            </w:r>
            <w:r w:rsidRPr="0005701D">
              <w:rPr>
                <w:bCs/>
                <w:sz w:val="22"/>
                <w:szCs w:val="22"/>
              </w:rPr>
              <w:t>rbimeve mb</w:t>
            </w:r>
            <w:r w:rsidR="00774E87">
              <w:rPr>
                <w:bCs/>
                <w:sz w:val="22"/>
                <w:szCs w:val="22"/>
              </w:rPr>
              <w:t>ë</w:t>
            </w:r>
            <w:r w:rsidRPr="0005701D">
              <w:rPr>
                <w:bCs/>
                <w:sz w:val="22"/>
                <w:szCs w:val="22"/>
              </w:rPr>
              <w:t>shtet</w:t>
            </w:r>
            <w:r w:rsidR="00774E87">
              <w:rPr>
                <w:bCs/>
                <w:sz w:val="22"/>
                <w:szCs w:val="22"/>
              </w:rPr>
              <w:t>ë</w:t>
            </w:r>
            <w:r w:rsidRPr="0005701D">
              <w:rPr>
                <w:bCs/>
                <w:sz w:val="22"/>
                <w:szCs w:val="22"/>
              </w:rPr>
              <w:t>se t</w:t>
            </w:r>
            <w:r w:rsidR="00774E87">
              <w:rPr>
                <w:bCs/>
                <w:sz w:val="22"/>
                <w:szCs w:val="22"/>
              </w:rPr>
              <w:t>ë</w:t>
            </w:r>
            <w:r w:rsidRPr="0005701D">
              <w:rPr>
                <w:bCs/>
                <w:sz w:val="22"/>
                <w:szCs w:val="22"/>
              </w:rPr>
              <w:t xml:space="preserve"> specializuara me standarde t</w:t>
            </w:r>
            <w:r w:rsidR="00774E87">
              <w:rPr>
                <w:bCs/>
                <w:sz w:val="22"/>
                <w:szCs w:val="22"/>
              </w:rPr>
              <w:t>ë</w:t>
            </w:r>
            <w:r w:rsidRPr="0005701D">
              <w:rPr>
                <w:bCs/>
                <w:sz w:val="22"/>
                <w:szCs w:val="22"/>
              </w:rPr>
              <w:t xml:space="preserve"> p</w:t>
            </w:r>
            <w:r w:rsidR="00774E87">
              <w:rPr>
                <w:bCs/>
                <w:sz w:val="22"/>
                <w:szCs w:val="22"/>
              </w:rPr>
              <w:t>ë</w:t>
            </w:r>
            <w:r w:rsidRPr="0005701D">
              <w:rPr>
                <w:bCs/>
                <w:sz w:val="22"/>
                <w:szCs w:val="22"/>
              </w:rPr>
              <w:t>rmir</w:t>
            </w:r>
            <w:r w:rsidR="00774E87">
              <w:rPr>
                <w:bCs/>
                <w:sz w:val="22"/>
                <w:szCs w:val="22"/>
              </w:rPr>
              <w:t>ë</w:t>
            </w:r>
            <w:r w:rsidRPr="0005701D">
              <w:rPr>
                <w:bCs/>
                <w:sz w:val="22"/>
                <w:szCs w:val="22"/>
              </w:rPr>
              <w:t>suara e t</w:t>
            </w:r>
            <w:r w:rsidR="00774E87">
              <w:rPr>
                <w:bCs/>
                <w:sz w:val="22"/>
                <w:szCs w:val="22"/>
              </w:rPr>
              <w:t>ë</w:t>
            </w:r>
            <w:r w:rsidRPr="0005701D">
              <w:rPr>
                <w:bCs/>
                <w:sz w:val="22"/>
                <w:szCs w:val="22"/>
              </w:rPr>
              <w:t xml:space="preserve"> p</w:t>
            </w:r>
            <w:r w:rsidR="00774E87">
              <w:rPr>
                <w:bCs/>
                <w:sz w:val="22"/>
                <w:szCs w:val="22"/>
              </w:rPr>
              <w:t>ë</w:t>
            </w:r>
            <w:r w:rsidRPr="0005701D">
              <w:rPr>
                <w:bCs/>
                <w:sz w:val="22"/>
                <w:szCs w:val="22"/>
              </w:rPr>
              <w:t>rshtatura p</w:t>
            </w:r>
            <w:r w:rsidR="00774E87">
              <w:rPr>
                <w:bCs/>
                <w:sz w:val="22"/>
                <w:szCs w:val="22"/>
              </w:rPr>
              <w:t>ë</w:t>
            </w:r>
            <w:r w:rsidRPr="0005701D">
              <w:rPr>
                <w:bCs/>
                <w:sz w:val="22"/>
                <w:szCs w:val="22"/>
              </w:rPr>
              <w:t>r tr</w:t>
            </w:r>
            <w:r w:rsidR="00DC7F71" w:rsidRPr="00DC7F71">
              <w:rPr>
                <w:bCs/>
                <w:sz w:val="22"/>
                <w:szCs w:val="22"/>
              </w:rPr>
              <w:t>ajtimin n</w:t>
            </w:r>
            <w:r w:rsidR="00774E87">
              <w:rPr>
                <w:bCs/>
                <w:sz w:val="22"/>
                <w:szCs w:val="22"/>
              </w:rPr>
              <w:t>ë</w:t>
            </w:r>
            <w:r w:rsidR="00DC7F71" w:rsidRPr="00DC7F71">
              <w:rPr>
                <w:bCs/>
                <w:sz w:val="22"/>
                <w:szCs w:val="22"/>
              </w:rPr>
              <w:t xml:space="preserve"> m</w:t>
            </w:r>
            <w:r w:rsidR="00774E87">
              <w:rPr>
                <w:bCs/>
                <w:sz w:val="22"/>
                <w:szCs w:val="22"/>
              </w:rPr>
              <w:t>ë</w:t>
            </w:r>
            <w:r w:rsidR="00DC7F71" w:rsidRPr="00DC7F71">
              <w:rPr>
                <w:bCs/>
                <w:sz w:val="22"/>
                <w:szCs w:val="22"/>
              </w:rPr>
              <w:t>nyr</w:t>
            </w:r>
            <w:r w:rsidR="00774E87">
              <w:rPr>
                <w:bCs/>
                <w:sz w:val="22"/>
                <w:szCs w:val="22"/>
              </w:rPr>
              <w:t>ë</w:t>
            </w:r>
            <w:r w:rsidR="00DC7F71" w:rsidRPr="00DC7F71">
              <w:rPr>
                <w:bCs/>
                <w:sz w:val="22"/>
                <w:szCs w:val="22"/>
              </w:rPr>
              <w:t>n e duhur t</w:t>
            </w:r>
            <w:r w:rsidR="00774E87">
              <w:rPr>
                <w:bCs/>
                <w:sz w:val="22"/>
                <w:szCs w:val="22"/>
              </w:rPr>
              <w:t>ë</w:t>
            </w:r>
            <w:r w:rsidR="00DC7F71" w:rsidRPr="00DC7F71">
              <w:rPr>
                <w:bCs/>
                <w:sz w:val="22"/>
                <w:szCs w:val="22"/>
              </w:rPr>
              <w:t xml:space="preserve"> p</w:t>
            </w:r>
            <w:r w:rsidRPr="0005701D">
              <w:rPr>
                <w:bCs/>
                <w:sz w:val="22"/>
                <w:szCs w:val="22"/>
              </w:rPr>
              <w:t>ersonave LGBTI+</w:t>
            </w:r>
          </w:p>
          <w:p w:rsidR="00F423AA" w:rsidRPr="0005701D" w:rsidRDefault="00F423AA" w:rsidP="0005701D">
            <w:pPr>
              <w:jc w:val="both"/>
              <w:rPr>
                <w:bCs/>
                <w:sz w:val="22"/>
                <w:szCs w:val="22"/>
              </w:rPr>
            </w:pPr>
          </w:p>
          <w:p w:rsidR="00F423AA" w:rsidRPr="0005701D" w:rsidRDefault="00F423AA" w:rsidP="0005701D">
            <w:pPr>
              <w:jc w:val="both"/>
              <w:rPr>
                <w:bCs/>
                <w:sz w:val="22"/>
                <w:szCs w:val="22"/>
              </w:rPr>
            </w:pPr>
          </w:p>
          <w:p w:rsidR="00F423AA" w:rsidRPr="0005701D" w:rsidRDefault="00F423AA" w:rsidP="0005701D">
            <w:pPr>
              <w:jc w:val="both"/>
              <w:rPr>
                <w:bCs/>
                <w:sz w:val="22"/>
                <w:szCs w:val="22"/>
              </w:rPr>
            </w:pPr>
          </w:p>
          <w:p w:rsidR="00F423AA" w:rsidRPr="0005701D" w:rsidRDefault="00F423AA" w:rsidP="0005701D">
            <w:pPr>
              <w:jc w:val="both"/>
              <w:rPr>
                <w:bCs/>
                <w:sz w:val="22"/>
                <w:szCs w:val="22"/>
              </w:rPr>
            </w:pPr>
          </w:p>
          <w:p w:rsidR="00F423AA" w:rsidRDefault="00F423AA" w:rsidP="0005701D">
            <w:pPr>
              <w:jc w:val="both"/>
              <w:rPr>
                <w:bCs/>
                <w:sz w:val="22"/>
                <w:szCs w:val="22"/>
              </w:rPr>
            </w:pPr>
          </w:p>
          <w:p w:rsidR="00DC7F71" w:rsidRPr="0005701D" w:rsidRDefault="00DC7F71" w:rsidP="0005701D">
            <w:pPr>
              <w:jc w:val="both"/>
              <w:rPr>
                <w:bCs/>
                <w:sz w:val="22"/>
                <w:szCs w:val="22"/>
              </w:rPr>
            </w:pPr>
          </w:p>
          <w:p w:rsidR="00006118" w:rsidRPr="0005701D" w:rsidRDefault="00F423AA" w:rsidP="0005701D">
            <w:pPr>
              <w:jc w:val="both"/>
              <w:rPr>
                <w:sz w:val="22"/>
                <w:szCs w:val="22"/>
              </w:rPr>
            </w:pPr>
            <w:r w:rsidRPr="0005701D">
              <w:rPr>
                <w:bCs/>
                <w:sz w:val="22"/>
                <w:szCs w:val="22"/>
              </w:rPr>
              <w:t>I.1.b. P</w:t>
            </w:r>
            <w:r w:rsidR="00774E87">
              <w:rPr>
                <w:bCs/>
                <w:sz w:val="22"/>
                <w:szCs w:val="22"/>
              </w:rPr>
              <w:t>ë</w:t>
            </w:r>
            <w:r w:rsidRPr="0005701D">
              <w:rPr>
                <w:bCs/>
                <w:sz w:val="22"/>
                <w:szCs w:val="22"/>
              </w:rPr>
              <w:t>rqindja e buxhetit t</w:t>
            </w:r>
            <w:r w:rsidR="00774E87">
              <w:rPr>
                <w:bCs/>
                <w:sz w:val="22"/>
                <w:szCs w:val="22"/>
              </w:rPr>
              <w:t>ë</w:t>
            </w:r>
            <w:r w:rsidRPr="0005701D">
              <w:rPr>
                <w:bCs/>
                <w:sz w:val="22"/>
                <w:szCs w:val="22"/>
              </w:rPr>
              <w:t xml:space="preserve"> shtetit alokuar p</w:t>
            </w:r>
            <w:r w:rsidR="00774E87">
              <w:rPr>
                <w:bCs/>
                <w:sz w:val="22"/>
                <w:szCs w:val="22"/>
              </w:rPr>
              <w:t>ë</w:t>
            </w:r>
            <w:r w:rsidRPr="0005701D">
              <w:rPr>
                <w:bCs/>
                <w:sz w:val="22"/>
                <w:szCs w:val="22"/>
              </w:rPr>
              <w:t>r funksionimin e sh</w:t>
            </w:r>
            <w:r w:rsidR="00774E87">
              <w:rPr>
                <w:bCs/>
                <w:sz w:val="22"/>
                <w:szCs w:val="22"/>
              </w:rPr>
              <w:t>ë</w:t>
            </w:r>
            <w:r w:rsidRPr="0005701D">
              <w:rPr>
                <w:bCs/>
                <w:sz w:val="22"/>
                <w:szCs w:val="22"/>
              </w:rPr>
              <w:t>rbimeve mb</w:t>
            </w:r>
            <w:r w:rsidR="00774E87">
              <w:rPr>
                <w:bCs/>
                <w:sz w:val="22"/>
                <w:szCs w:val="22"/>
              </w:rPr>
              <w:t>ë</w:t>
            </w:r>
            <w:r w:rsidRPr="0005701D">
              <w:rPr>
                <w:bCs/>
                <w:sz w:val="22"/>
                <w:szCs w:val="22"/>
              </w:rPr>
              <w:t>shtet</w:t>
            </w:r>
            <w:r w:rsidR="00774E87">
              <w:rPr>
                <w:bCs/>
                <w:sz w:val="22"/>
                <w:szCs w:val="22"/>
              </w:rPr>
              <w:t>ë</w:t>
            </w:r>
            <w:r w:rsidRPr="0005701D">
              <w:rPr>
                <w:bCs/>
                <w:sz w:val="22"/>
                <w:szCs w:val="22"/>
              </w:rPr>
              <w:t>se t</w:t>
            </w:r>
            <w:r w:rsidR="00774E87">
              <w:rPr>
                <w:bCs/>
                <w:sz w:val="22"/>
                <w:szCs w:val="22"/>
              </w:rPr>
              <w:t>ë</w:t>
            </w:r>
            <w:r w:rsidRPr="0005701D">
              <w:rPr>
                <w:bCs/>
                <w:sz w:val="22"/>
                <w:szCs w:val="22"/>
              </w:rPr>
              <w:t xml:space="preserve"> specializuara t</w:t>
            </w:r>
            <w:r w:rsidR="00774E87">
              <w:rPr>
                <w:bCs/>
                <w:sz w:val="22"/>
                <w:szCs w:val="22"/>
              </w:rPr>
              <w:t>ë</w:t>
            </w:r>
            <w:r w:rsidRPr="0005701D">
              <w:rPr>
                <w:bCs/>
                <w:sz w:val="22"/>
                <w:szCs w:val="22"/>
              </w:rPr>
              <w:t xml:space="preserve"> dedikuara p</w:t>
            </w:r>
            <w:r w:rsidR="00774E87">
              <w:rPr>
                <w:bCs/>
                <w:sz w:val="22"/>
                <w:szCs w:val="22"/>
              </w:rPr>
              <w:t>ë</w:t>
            </w:r>
            <w:r w:rsidRPr="0005701D">
              <w:rPr>
                <w:bCs/>
                <w:sz w:val="22"/>
                <w:szCs w:val="22"/>
              </w:rPr>
              <w:t>r personat LGBTI+, ose q</w:t>
            </w:r>
            <w:r w:rsidR="00774E87">
              <w:rPr>
                <w:bCs/>
                <w:sz w:val="22"/>
                <w:szCs w:val="22"/>
              </w:rPr>
              <w:t>ë</w:t>
            </w:r>
            <w:r w:rsidRPr="0005701D">
              <w:rPr>
                <w:bCs/>
                <w:sz w:val="22"/>
                <w:szCs w:val="22"/>
              </w:rPr>
              <w:t xml:space="preserve"> ofrojn</w:t>
            </w:r>
            <w:r w:rsidR="00774E87">
              <w:rPr>
                <w:bCs/>
                <w:sz w:val="22"/>
                <w:szCs w:val="22"/>
              </w:rPr>
              <w:t>ë</w:t>
            </w:r>
            <w:r w:rsidRPr="0005701D">
              <w:rPr>
                <w:bCs/>
                <w:sz w:val="22"/>
                <w:szCs w:val="22"/>
              </w:rPr>
              <w:t xml:space="preserve"> sh</w:t>
            </w:r>
            <w:r w:rsidR="00774E87">
              <w:rPr>
                <w:bCs/>
                <w:sz w:val="22"/>
                <w:szCs w:val="22"/>
              </w:rPr>
              <w:t>ë</w:t>
            </w:r>
            <w:r w:rsidRPr="0005701D">
              <w:rPr>
                <w:bCs/>
                <w:sz w:val="22"/>
                <w:szCs w:val="22"/>
              </w:rPr>
              <w:t>rbime miq</w:t>
            </w:r>
            <w:r w:rsidR="00774E87">
              <w:rPr>
                <w:bCs/>
                <w:sz w:val="22"/>
                <w:szCs w:val="22"/>
              </w:rPr>
              <w:t>ë</w:t>
            </w:r>
            <w:r w:rsidRPr="0005701D">
              <w:rPr>
                <w:bCs/>
                <w:sz w:val="22"/>
                <w:szCs w:val="22"/>
              </w:rPr>
              <w:t>sore ndaj tyre</w:t>
            </w:r>
            <w:r w:rsidR="00006118" w:rsidRPr="0005701D">
              <w:rPr>
                <w:sz w:val="22"/>
                <w:szCs w:val="22"/>
              </w:rPr>
              <w:t xml:space="preserve">. </w:t>
            </w:r>
          </w:p>
        </w:tc>
        <w:tc>
          <w:tcPr>
            <w:tcW w:w="2520" w:type="dxa"/>
            <w:gridSpan w:val="2"/>
            <w:shd w:val="clear" w:color="auto" w:fill="FDE9D9" w:themeFill="accent6" w:themeFillTint="33"/>
          </w:tcPr>
          <w:p w:rsidR="00006118" w:rsidRPr="0005701D" w:rsidRDefault="00006118" w:rsidP="008C1AE4">
            <w:pPr>
              <w:ind w:left="720"/>
              <w:jc w:val="both"/>
              <w:rPr>
                <w:i/>
                <w:sz w:val="22"/>
                <w:szCs w:val="22"/>
                <w:u w:val="single"/>
              </w:rPr>
            </w:pPr>
            <w:r w:rsidRPr="0005701D">
              <w:rPr>
                <w:i/>
                <w:sz w:val="22"/>
                <w:szCs w:val="22"/>
                <w:u w:val="single"/>
              </w:rPr>
              <w:t>Baseline:</w:t>
            </w:r>
          </w:p>
          <w:p w:rsidR="00F423AA" w:rsidRPr="0005701D" w:rsidRDefault="00F423AA" w:rsidP="008C1AE4">
            <w:pPr>
              <w:jc w:val="center"/>
              <w:rPr>
                <w:bCs/>
                <w:sz w:val="22"/>
                <w:szCs w:val="22"/>
              </w:rPr>
            </w:pPr>
            <w:r w:rsidRPr="0005701D">
              <w:rPr>
                <w:bCs/>
                <w:sz w:val="22"/>
                <w:szCs w:val="22"/>
              </w:rPr>
              <w:t>1 sh</w:t>
            </w:r>
            <w:r w:rsidR="00774E87">
              <w:rPr>
                <w:bCs/>
                <w:sz w:val="22"/>
                <w:szCs w:val="22"/>
              </w:rPr>
              <w:t>ë</w:t>
            </w:r>
            <w:r w:rsidRPr="0005701D">
              <w:rPr>
                <w:bCs/>
                <w:sz w:val="22"/>
                <w:szCs w:val="22"/>
              </w:rPr>
              <w:t>rbim me standarde t</w:t>
            </w:r>
            <w:r w:rsidR="00774E87">
              <w:rPr>
                <w:bCs/>
                <w:sz w:val="22"/>
                <w:szCs w:val="22"/>
              </w:rPr>
              <w:t>ë</w:t>
            </w:r>
            <w:r w:rsidRPr="0005701D">
              <w:rPr>
                <w:bCs/>
                <w:sz w:val="22"/>
                <w:szCs w:val="22"/>
              </w:rPr>
              <w:t xml:space="preserve"> p</w:t>
            </w:r>
            <w:r w:rsidR="00774E87">
              <w:rPr>
                <w:bCs/>
                <w:sz w:val="22"/>
                <w:szCs w:val="22"/>
              </w:rPr>
              <w:t>ë</w:t>
            </w:r>
            <w:r w:rsidRPr="0005701D">
              <w:rPr>
                <w:bCs/>
                <w:sz w:val="22"/>
                <w:szCs w:val="22"/>
              </w:rPr>
              <w:t>rshtatura p</w:t>
            </w:r>
            <w:r w:rsidR="00774E87">
              <w:rPr>
                <w:bCs/>
                <w:sz w:val="22"/>
                <w:szCs w:val="22"/>
              </w:rPr>
              <w:t>ë</w:t>
            </w:r>
            <w:r w:rsidRPr="0005701D">
              <w:rPr>
                <w:bCs/>
                <w:sz w:val="22"/>
                <w:szCs w:val="22"/>
              </w:rPr>
              <w:t>r personat LGBTI+ (“Streha”, 2020)</w:t>
            </w:r>
          </w:p>
          <w:p w:rsidR="0098152B" w:rsidRPr="0005701D" w:rsidRDefault="0098152B" w:rsidP="008C1AE4">
            <w:pPr>
              <w:jc w:val="center"/>
              <w:rPr>
                <w:bCs/>
                <w:i/>
                <w:iCs/>
                <w:sz w:val="22"/>
                <w:szCs w:val="22"/>
              </w:rPr>
            </w:pPr>
          </w:p>
          <w:p w:rsidR="00F423AA" w:rsidRPr="0005701D" w:rsidRDefault="00F423AA" w:rsidP="008C1AE4">
            <w:pPr>
              <w:jc w:val="center"/>
              <w:rPr>
                <w:bCs/>
                <w:i/>
                <w:iCs/>
                <w:sz w:val="22"/>
                <w:szCs w:val="22"/>
              </w:rPr>
            </w:pPr>
          </w:p>
          <w:p w:rsidR="00F423AA" w:rsidRPr="0005701D" w:rsidRDefault="00F423AA" w:rsidP="008C1AE4">
            <w:pPr>
              <w:jc w:val="center"/>
              <w:rPr>
                <w:bCs/>
                <w:i/>
                <w:iCs/>
                <w:sz w:val="22"/>
                <w:szCs w:val="22"/>
              </w:rPr>
            </w:pPr>
          </w:p>
          <w:p w:rsidR="00F423AA" w:rsidRPr="0005701D" w:rsidRDefault="00F423AA" w:rsidP="008C1AE4">
            <w:pPr>
              <w:jc w:val="center"/>
              <w:rPr>
                <w:bCs/>
                <w:i/>
                <w:iCs/>
                <w:sz w:val="22"/>
                <w:szCs w:val="22"/>
              </w:rPr>
            </w:pPr>
          </w:p>
          <w:p w:rsidR="00006118" w:rsidRPr="00F90313" w:rsidRDefault="00F423AA" w:rsidP="00F90313">
            <w:pPr>
              <w:rPr>
                <w:bCs/>
                <w:i/>
                <w:iCs/>
                <w:sz w:val="22"/>
                <w:szCs w:val="22"/>
              </w:rPr>
            </w:pPr>
            <w:r w:rsidRPr="0005701D">
              <w:rPr>
                <w:bCs/>
                <w:i/>
                <w:iCs/>
                <w:sz w:val="22"/>
                <w:szCs w:val="22"/>
              </w:rPr>
              <w:t>Buxheti q</w:t>
            </w:r>
            <w:r w:rsidR="00774E87">
              <w:rPr>
                <w:bCs/>
                <w:i/>
                <w:iCs/>
                <w:sz w:val="22"/>
                <w:szCs w:val="22"/>
              </w:rPr>
              <w:t>ë</w:t>
            </w:r>
            <w:r w:rsidRPr="0005701D">
              <w:rPr>
                <w:bCs/>
                <w:i/>
                <w:iCs/>
                <w:sz w:val="22"/>
                <w:szCs w:val="22"/>
              </w:rPr>
              <w:t xml:space="preserve"> ofrohet nga shteti p</w:t>
            </w:r>
            <w:r w:rsidR="00774E87">
              <w:rPr>
                <w:bCs/>
                <w:i/>
                <w:iCs/>
                <w:sz w:val="22"/>
                <w:szCs w:val="22"/>
              </w:rPr>
              <w:t>ë</w:t>
            </w:r>
            <w:r w:rsidRPr="0005701D">
              <w:rPr>
                <w:bCs/>
                <w:i/>
                <w:iCs/>
                <w:sz w:val="22"/>
                <w:szCs w:val="22"/>
              </w:rPr>
              <w:t>r mb</w:t>
            </w:r>
            <w:r w:rsidR="00774E87">
              <w:rPr>
                <w:bCs/>
                <w:i/>
                <w:iCs/>
                <w:sz w:val="22"/>
                <w:szCs w:val="22"/>
              </w:rPr>
              <w:t>ë</w:t>
            </w:r>
            <w:r w:rsidRPr="0005701D">
              <w:rPr>
                <w:bCs/>
                <w:i/>
                <w:iCs/>
                <w:sz w:val="22"/>
                <w:szCs w:val="22"/>
              </w:rPr>
              <w:t>shtetjen e “Streh</w:t>
            </w:r>
            <w:r w:rsidR="00774E87">
              <w:rPr>
                <w:bCs/>
                <w:i/>
                <w:iCs/>
                <w:sz w:val="22"/>
                <w:szCs w:val="22"/>
              </w:rPr>
              <w:t>ë</w:t>
            </w:r>
            <w:r w:rsidR="00F90313">
              <w:rPr>
                <w:bCs/>
                <w:i/>
                <w:iCs/>
                <w:sz w:val="22"/>
                <w:szCs w:val="22"/>
              </w:rPr>
              <w:t>s”(2021)</w:t>
            </w:r>
          </w:p>
        </w:tc>
        <w:tc>
          <w:tcPr>
            <w:tcW w:w="1777" w:type="dxa"/>
            <w:gridSpan w:val="2"/>
            <w:shd w:val="clear" w:color="auto" w:fill="FDE9D9" w:themeFill="accent6" w:themeFillTint="33"/>
          </w:tcPr>
          <w:p w:rsidR="00006118" w:rsidRPr="0005701D" w:rsidRDefault="00006118" w:rsidP="008C1AE4">
            <w:pPr>
              <w:ind w:hanging="18"/>
              <w:jc w:val="center"/>
              <w:rPr>
                <w:i/>
                <w:sz w:val="22"/>
                <w:szCs w:val="22"/>
                <w:u w:val="single"/>
              </w:rPr>
            </w:pPr>
            <w:r w:rsidRPr="0005701D">
              <w:rPr>
                <w:i/>
                <w:sz w:val="22"/>
                <w:szCs w:val="22"/>
                <w:u w:val="single"/>
              </w:rPr>
              <w:t>Target</w:t>
            </w:r>
          </w:p>
          <w:p w:rsidR="00F423AA" w:rsidRPr="0005701D" w:rsidRDefault="00F423AA" w:rsidP="008C1AE4">
            <w:pPr>
              <w:ind w:hanging="18"/>
              <w:jc w:val="center"/>
              <w:rPr>
                <w:sz w:val="22"/>
                <w:szCs w:val="22"/>
              </w:rPr>
            </w:pPr>
            <w:r w:rsidRPr="0005701D">
              <w:rPr>
                <w:sz w:val="22"/>
                <w:szCs w:val="22"/>
              </w:rPr>
              <w:t>3 tipe standardesh komb</w:t>
            </w:r>
            <w:r w:rsidR="00774E87">
              <w:rPr>
                <w:sz w:val="22"/>
                <w:szCs w:val="22"/>
              </w:rPr>
              <w:t>ë</w:t>
            </w:r>
            <w:r w:rsidRPr="0005701D">
              <w:rPr>
                <w:sz w:val="22"/>
                <w:szCs w:val="22"/>
              </w:rPr>
              <w:t>tare p</w:t>
            </w:r>
            <w:r w:rsidR="00774E87">
              <w:rPr>
                <w:sz w:val="22"/>
                <w:szCs w:val="22"/>
              </w:rPr>
              <w:t>ë</w:t>
            </w:r>
            <w:r w:rsidRPr="0005701D">
              <w:rPr>
                <w:sz w:val="22"/>
                <w:szCs w:val="22"/>
              </w:rPr>
              <w:t>r 3 lloj sh</w:t>
            </w:r>
            <w:r w:rsidR="00774E87">
              <w:rPr>
                <w:sz w:val="22"/>
                <w:szCs w:val="22"/>
              </w:rPr>
              <w:t>ë</w:t>
            </w:r>
            <w:r w:rsidRPr="0005701D">
              <w:rPr>
                <w:sz w:val="22"/>
                <w:szCs w:val="22"/>
              </w:rPr>
              <w:t>rbimesh mb</w:t>
            </w:r>
            <w:r w:rsidR="00774E87">
              <w:rPr>
                <w:sz w:val="22"/>
                <w:szCs w:val="22"/>
              </w:rPr>
              <w:t>ë</w:t>
            </w:r>
            <w:r w:rsidRPr="0005701D">
              <w:rPr>
                <w:sz w:val="22"/>
                <w:szCs w:val="22"/>
              </w:rPr>
              <w:t>shtet</w:t>
            </w:r>
            <w:r w:rsidR="00774E87">
              <w:rPr>
                <w:sz w:val="22"/>
                <w:szCs w:val="22"/>
              </w:rPr>
              <w:t>ë</w:t>
            </w:r>
            <w:r w:rsidRPr="0005701D">
              <w:rPr>
                <w:sz w:val="22"/>
                <w:szCs w:val="22"/>
              </w:rPr>
              <w:t>se t</w:t>
            </w:r>
            <w:r w:rsidR="00774E87">
              <w:rPr>
                <w:sz w:val="22"/>
                <w:szCs w:val="22"/>
              </w:rPr>
              <w:t>ë</w:t>
            </w:r>
            <w:r w:rsidRPr="0005701D">
              <w:rPr>
                <w:sz w:val="22"/>
                <w:szCs w:val="22"/>
              </w:rPr>
              <w:t xml:space="preserve"> specializuara t</w:t>
            </w:r>
            <w:r w:rsidR="00774E87">
              <w:rPr>
                <w:sz w:val="22"/>
                <w:szCs w:val="22"/>
              </w:rPr>
              <w:t>ë</w:t>
            </w:r>
            <w:r w:rsidRPr="0005701D">
              <w:rPr>
                <w:sz w:val="22"/>
                <w:szCs w:val="22"/>
              </w:rPr>
              <w:t xml:space="preserve"> rishikuara</w:t>
            </w:r>
          </w:p>
          <w:p w:rsidR="00F423AA" w:rsidRPr="0005701D" w:rsidRDefault="00F423AA" w:rsidP="008C1AE4">
            <w:pPr>
              <w:ind w:hanging="18"/>
              <w:jc w:val="center"/>
              <w:rPr>
                <w:sz w:val="22"/>
                <w:szCs w:val="22"/>
              </w:rPr>
            </w:pPr>
          </w:p>
          <w:p w:rsidR="000044E6" w:rsidRPr="0005701D" w:rsidRDefault="00F90313" w:rsidP="00F90313">
            <w:pPr>
              <w:ind w:hanging="18"/>
              <w:jc w:val="center"/>
              <w:rPr>
                <w:sz w:val="22"/>
                <w:szCs w:val="22"/>
              </w:rPr>
            </w:pPr>
            <w:r>
              <w:rPr>
                <w:sz w:val="22"/>
                <w:szCs w:val="22"/>
              </w:rPr>
              <w:t>Rritur me 1% çdo vit</w:t>
            </w:r>
          </w:p>
        </w:tc>
      </w:tr>
      <w:tr w:rsidR="00006118" w:rsidRPr="00265B92" w:rsidTr="00BA6EFB">
        <w:tc>
          <w:tcPr>
            <w:tcW w:w="7308" w:type="dxa"/>
            <w:gridSpan w:val="5"/>
            <w:shd w:val="clear" w:color="auto" w:fill="C2D69B" w:themeFill="accent3" w:themeFillTint="99"/>
          </w:tcPr>
          <w:p w:rsidR="00006118" w:rsidRPr="0005701D" w:rsidRDefault="00006118" w:rsidP="008C1AE4">
            <w:pPr>
              <w:jc w:val="center"/>
              <w:rPr>
                <w:b/>
                <w:sz w:val="22"/>
                <w:szCs w:val="22"/>
              </w:rPr>
            </w:pPr>
            <w:r w:rsidRPr="0005701D">
              <w:rPr>
                <w:b/>
                <w:sz w:val="22"/>
                <w:szCs w:val="22"/>
              </w:rPr>
              <w:t>MASAT DHE AKTIVITETET</w:t>
            </w:r>
          </w:p>
        </w:tc>
        <w:tc>
          <w:tcPr>
            <w:tcW w:w="2067" w:type="dxa"/>
            <w:shd w:val="clear" w:color="auto" w:fill="C2D69B" w:themeFill="accent3" w:themeFillTint="99"/>
          </w:tcPr>
          <w:p w:rsidR="00006118" w:rsidRPr="0005701D" w:rsidRDefault="00006118" w:rsidP="008C1AE4">
            <w:pPr>
              <w:jc w:val="center"/>
              <w:rPr>
                <w:b/>
                <w:sz w:val="22"/>
                <w:szCs w:val="22"/>
              </w:rPr>
            </w:pPr>
            <w:r w:rsidRPr="0005701D">
              <w:rPr>
                <w:b/>
                <w:sz w:val="22"/>
                <w:szCs w:val="22"/>
              </w:rPr>
              <w:t>PRODUKTI</w:t>
            </w:r>
          </w:p>
        </w:tc>
        <w:tc>
          <w:tcPr>
            <w:tcW w:w="2067" w:type="dxa"/>
            <w:gridSpan w:val="2"/>
            <w:shd w:val="clear" w:color="auto" w:fill="C2D69B" w:themeFill="accent3" w:themeFillTint="99"/>
          </w:tcPr>
          <w:p w:rsidR="00006118" w:rsidRPr="0005701D" w:rsidRDefault="00006118" w:rsidP="008C1AE4">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006118" w:rsidRPr="0005701D" w:rsidRDefault="00006118" w:rsidP="008C1AE4">
            <w:pPr>
              <w:jc w:val="center"/>
              <w:rPr>
                <w:b/>
                <w:sz w:val="22"/>
                <w:szCs w:val="22"/>
              </w:rPr>
            </w:pPr>
            <w:r w:rsidRPr="0005701D">
              <w:rPr>
                <w:b/>
                <w:sz w:val="22"/>
                <w:szCs w:val="22"/>
              </w:rPr>
              <w:t>INSTITUCIONET PARTNERE</w:t>
            </w:r>
          </w:p>
        </w:tc>
        <w:tc>
          <w:tcPr>
            <w:tcW w:w="1765" w:type="dxa"/>
            <w:shd w:val="clear" w:color="auto" w:fill="C2D69B" w:themeFill="accent3" w:themeFillTint="99"/>
          </w:tcPr>
          <w:p w:rsidR="00006118" w:rsidRPr="0005701D" w:rsidRDefault="00006118" w:rsidP="008C1AE4">
            <w:pPr>
              <w:jc w:val="center"/>
              <w:rPr>
                <w:b/>
                <w:sz w:val="22"/>
                <w:szCs w:val="22"/>
              </w:rPr>
            </w:pPr>
            <w:r w:rsidRPr="0005701D">
              <w:rPr>
                <w:b/>
                <w:sz w:val="22"/>
                <w:szCs w:val="22"/>
              </w:rPr>
              <w:t>AFATI KOHOR</w:t>
            </w:r>
          </w:p>
        </w:tc>
      </w:tr>
      <w:tr w:rsidR="00006118" w:rsidRPr="00265B92" w:rsidTr="00BA6EFB">
        <w:tc>
          <w:tcPr>
            <w:tcW w:w="9375" w:type="dxa"/>
            <w:gridSpan w:val="6"/>
            <w:shd w:val="clear" w:color="auto" w:fill="EAF1DD" w:themeFill="accent3" w:themeFillTint="33"/>
          </w:tcPr>
          <w:p w:rsidR="00006118" w:rsidRPr="0005701D" w:rsidRDefault="00265B92" w:rsidP="008C1AE4">
            <w:pPr>
              <w:jc w:val="both"/>
              <w:rPr>
                <w:b/>
                <w:bCs/>
                <w:sz w:val="22"/>
                <w:szCs w:val="22"/>
                <w:lang w:val="en-US"/>
              </w:rPr>
            </w:pPr>
            <w:r>
              <w:rPr>
                <w:b/>
                <w:sz w:val="22"/>
                <w:szCs w:val="22"/>
              </w:rPr>
              <w:t>I</w:t>
            </w:r>
            <w:r w:rsidR="002663BD" w:rsidRPr="0005701D">
              <w:rPr>
                <w:b/>
                <w:sz w:val="22"/>
                <w:szCs w:val="22"/>
              </w:rPr>
              <w:t>.1.1.</w:t>
            </w:r>
            <w:r>
              <w:rPr>
                <w:b/>
              </w:rPr>
              <w:t xml:space="preserve"> Nd</w:t>
            </w:r>
            <w:r w:rsidR="00774E87">
              <w:rPr>
                <w:b/>
              </w:rPr>
              <w:t>ë</w:t>
            </w:r>
            <w:r>
              <w:rPr>
                <w:b/>
              </w:rPr>
              <w:t>rtimi/fuqizimi i kapaciteteve t</w:t>
            </w:r>
            <w:r w:rsidR="00774E87">
              <w:rPr>
                <w:b/>
              </w:rPr>
              <w:t>ë</w:t>
            </w:r>
            <w:r>
              <w:rPr>
                <w:b/>
              </w:rPr>
              <w:t xml:space="preserve"> n</w:t>
            </w:r>
            <w:r w:rsidR="00774E87">
              <w:rPr>
                <w:b/>
              </w:rPr>
              <w:t>ë</w:t>
            </w:r>
            <w:r>
              <w:rPr>
                <w:b/>
              </w:rPr>
              <w:t>pun</w:t>
            </w:r>
            <w:r w:rsidR="00774E87">
              <w:rPr>
                <w:b/>
              </w:rPr>
              <w:t>ë</w:t>
            </w:r>
            <w:r>
              <w:rPr>
                <w:b/>
              </w:rPr>
              <w:t>seve dhe n</w:t>
            </w:r>
            <w:r w:rsidR="00774E87">
              <w:rPr>
                <w:b/>
              </w:rPr>
              <w:t>ë</w:t>
            </w:r>
            <w:r>
              <w:rPr>
                <w:b/>
              </w:rPr>
              <w:t>pun</w:t>
            </w:r>
            <w:r w:rsidR="00774E87">
              <w:rPr>
                <w:b/>
              </w:rPr>
              <w:t>ë</w:t>
            </w:r>
            <w:r>
              <w:rPr>
                <w:b/>
              </w:rPr>
              <w:t>sve civil</w:t>
            </w:r>
            <w:r w:rsidR="00774E87">
              <w:rPr>
                <w:b/>
              </w:rPr>
              <w:t>ë</w:t>
            </w:r>
            <w:r>
              <w:rPr>
                <w:b/>
              </w:rPr>
              <w:t xml:space="preserve"> p</w:t>
            </w:r>
            <w:r w:rsidR="00774E87">
              <w:rPr>
                <w:b/>
              </w:rPr>
              <w:t>ë</w:t>
            </w:r>
            <w:r>
              <w:rPr>
                <w:b/>
              </w:rPr>
              <w:t>r t</w:t>
            </w:r>
            <w:r w:rsidR="00774E87">
              <w:rPr>
                <w:b/>
              </w:rPr>
              <w:t>ë</w:t>
            </w:r>
            <w:r>
              <w:rPr>
                <w:b/>
              </w:rPr>
              <w:t xml:space="preserve"> respektuar t</w:t>
            </w:r>
            <w:r w:rsidR="00774E87">
              <w:rPr>
                <w:b/>
              </w:rPr>
              <w:t>ë</w:t>
            </w:r>
            <w:r>
              <w:rPr>
                <w:b/>
              </w:rPr>
              <w:t xml:space="preserve"> drejtat njer</w:t>
            </w:r>
            <w:r w:rsidR="00774E87">
              <w:rPr>
                <w:b/>
              </w:rPr>
              <w:t>ë</w:t>
            </w:r>
            <w:r>
              <w:rPr>
                <w:b/>
              </w:rPr>
              <w:t>zore t</w:t>
            </w:r>
            <w:r w:rsidR="00774E87">
              <w:rPr>
                <w:b/>
              </w:rPr>
              <w:t>ë</w:t>
            </w:r>
            <w:r>
              <w:rPr>
                <w:b/>
              </w:rPr>
              <w:t xml:space="preserve"> personave LGBTI+ </w:t>
            </w:r>
          </w:p>
        </w:tc>
        <w:tc>
          <w:tcPr>
            <w:tcW w:w="2067" w:type="dxa"/>
            <w:gridSpan w:val="2"/>
            <w:shd w:val="clear" w:color="auto" w:fill="EAF1DD" w:themeFill="accent3" w:themeFillTint="33"/>
          </w:tcPr>
          <w:p w:rsidR="00006118" w:rsidRPr="0005701D" w:rsidRDefault="00CD70F3" w:rsidP="008C1AE4">
            <w:pPr>
              <w:jc w:val="center"/>
              <w:rPr>
                <w:b/>
                <w:bCs/>
                <w:sz w:val="22"/>
                <w:szCs w:val="22"/>
                <w:lang w:val="en-US"/>
              </w:rPr>
            </w:pPr>
            <w:r>
              <w:rPr>
                <w:b/>
                <w:sz w:val="22"/>
                <w:szCs w:val="22"/>
              </w:rPr>
              <w:t>ASPA</w:t>
            </w:r>
            <w:r w:rsidRPr="0005701D" w:rsidDel="006D5C6C">
              <w:rPr>
                <w:b/>
                <w:sz w:val="22"/>
                <w:szCs w:val="22"/>
                <w:lang w:val="en-US"/>
              </w:rPr>
              <w:t xml:space="preserve"> </w:t>
            </w:r>
          </w:p>
        </w:tc>
        <w:tc>
          <w:tcPr>
            <w:tcW w:w="2520" w:type="dxa"/>
            <w:gridSpan w:val="2"/>
            <w:shd w:val="clear" w:color="auto" w:fill="EAF1DD" w:themeFill="accent3" w:themeFillTint="33"/>
          </w:tcPr>
          <w:p w:rsidR="00006118" w:rsidRPr="0005701D" w:rsidRDefault="00CD70F3" w:rsidP="008C1AE4">
            <w:pPr>
              <w:jc w:val="center"/>
              <w:rPr>
                <w:b/>
                <w:sz w:val="22"/>
                <w:szCs w:val="22"/>
                <w:lang w:val="en-US"/>
              </w:rPr>
            </w:pPr>
            <w:r w:rsidRPr="00CD70F3">
              <w:rPr>
                <w:b/>
                <w:sz w:val="22"/>
                <w:szCs w:val="22"/>
              </w:rPr>
              <w:t>MSHMS, ministrit</w:t>
            </w:r>
            <w:r w:rsidR="00774E87">
              <w:rPr>
                <w:b/>
                <w:sz w:val="22"/>
                <w:szCs w:val="22"/>
              </w:rPr>
              <w:t>ë</w:t>
            </w:r>
            <w:r w:rsidRPr="00CD70F3">
              <w:rPr>
                <w:b/>
                <w:sz w:val="22"/>
                <w:szCs w:val="22"/>
              </w:rPr>
              <w:t xml:space="preserve"> e linj</w:t>
            </w:r>
            <w:r w:rsidR="00774E87">
              <w:rPr>
                <w:b/>
                <w:sz w:val="22"/>
                <w:szCs w:val="22"/>
              </w:rPr>
              <w:t>ë</w:t>
            </w:r>
            <w:r w:rsidRPr="00CD70F3">
              <w:rPr>
                <w:b/>
                <w:sz w:val="22"/>
                <w:szCs w:val="22"/>
              </w:rPr>
              <w:t>s, NJVV, AP, KMD, OJF, Org. nd</w:t>
            </w:r>
            <w:r w:rsidR="00774E87">
              <w:rPr>
                <w:b/>
                <w:sz w:val="22"/>
                <w:szCs w:val="22"/>
              </w:rPr>
              <w:t>ë</w:t>
            </w:r>
            <w:r w:rsidRPr="00CD70F3">
              <w:rPr>
                <w:b/>
                <w:sz w:val="22"/>
                <w:szCs w:val="22"/>
              </w:rPr>
              <w:t>rkomb</w:t>
            </w:r>
            <w:r w:rsidR="00774E87">
              <w:rPr>
                <w:b/>
                <w:sz w:val="22"/>
                <w:szCs w:val="22"/>
              </w:rPr>
              <w:t>ë</w:t>
            </w:r>
            <w:r w:rsidRPr="00CD70F3">
              <w:rPr>
                <w:b/>
                <w:sz w:val="22"/>
                <w:szCs w:val="22"/>
              </w:rPr>
              <w:t>tare</w:t>
            </w:r>
          </w:p>
        </w:tc>
        <w:tc>
          <w:tcPr>
            <w:tcW w:w="1765" w:type="dxa"/>
            <w:shd w:val="clear" w:color="auto" w:fill="EAF1DD" w:themeFill="accent3" w:themeFillTint="33"/>
          </w:tcPr>
          <w:p w:rsidR="00CD70F3" w:rsidRPr="0005701D" w:rsidRDefault="00CD70F3" w:rsidP="00CD70F3">
            <w:pPr>
              <w:jc w:val="center"/>
              <w:rPr>
                <w:b/>
                <w:i/>
                <w:sz w:val="22"/>
                <w:szCs w:val="22"/>
              </w:rPr>
            </w:pPr>
            <w:r w:rsidRPr="0005701D">
              <w:rPr>
                <w:b/>
                <w:i/>
                <w:sz w:val="22"/>
                <w:szCs w:val="22"/>
              </w:rPr>
              <w:t xml:space="preserve">6-M-II 2021 </w:t>
            </w:r>
          </w:p>
          <w:p w:rsidR="00CD70F3" w:rsidRPr="0005701D" w:rsidRDefault="00CD70F3" w:rsidP="00CD70F3">
            <w:pPr>
              <w:jc w:val="center"/>
              <w:rPr>
                <w:b/>
                <w:i/>
                <w:sz w:val="22"/>
                <w:szCs w:val="22"/>
              </w:rPr>
            </w:pPr>
            <w:r w:rsidRPr="0005701D">
              <w:rPr>
                <w:b/>
                <w:i/>
                <w:sz w:val="22"/>
                <w:szCs w:val="22"/>
              </w:rPr>
              <w:t xml:space="preserve">– </w:t>
            </w:r>
          </w:p>
          <w:p w:rsidR="00006118" w:rsidRPr="0005701D" w:rsidRDefault="00CD70F3" w:rsidP="008C1AE4">
            <w:pPr>
              <w:jc w:val="center"/>
              <w:rPr>
                <w:b/>
                <w:sz w:val="22"/>
                <w:szCs w:val="22"/>
              </w:rPr>
            </w:pPr>
            <w:r w:rsidRPr="0005701D">
              <w:rPr>
                <w:b/>
                <w:i/>
                <w:sz w:val="22"/>
                <w:szCs w:val="22"/>
              </w:rPr>
              <w:t>6-M-II 2027</w:t>
            </w:r>
          </w:p>
        </w:tc>
      </w:tr>
      <w:tr w:rsidR="00006118" w:rsidRPr="00265B92" w:rsidTr="00BA6EFB">
        <w:tc>
          <w:tcPr>
            <w:tcW w:w="7308" w:type="dxa"/>
            <w:gridSpan w:val="5"/>
            <w:shd w:val="clear" w:color="auto" w:fill="auto"/>
          </w:tcPr>
          <w:p w:rsidR="00006118" w:rsidRPr="0005701D" w:rsidRDefault="00006118" w:rsidP="008C1AE4">
            <w:pPr>
              <w:jc w:val="both"/>
              <w:rPr>
                <w:i/>
                <w:sz w:val="22"/>
                <w:szCs w:val="22"/>
                <w:lang w:val="en-US"/>
              </w:rPr>
            </w:pPr>
            <w:r w:rsidRPr="0005701D">
              <w:rPr>
                <w:i/>
                <w:sz w:val="22"/>
                <w:szCs w:val="22"/>
                <w:lang w:val="en-US"/>
              </w:rPr>
              <w:t xml:space="preserve">I.1.1.a. </w:t>
            </w:r>
            <w:r w:rsidR="00740DF8" w:rsidRPr="008C1AE4">
              <w:rPr>
                <w:bCs/>
                <w:i/>
                <w:iCs/>
                <w:sz w:val="22"/>
                <w:szCs w:val="22"/>
              </w:rPr>
              <w:t>P</w:t>
            </w:r>
            <w:r w:rsidR="00774E87">
              <w:rPr>
                <w:bCs/>
                <w:i/>
                <w:iCs/>
                <w:sz w:val="22"/>
                <w:szCs w:val="22"/>
              </w:rPr>
              <w:t>ë</w:t>
            </w:r>
            <w:r w:rsidR="00740DF8" w:rsidRPr="008C1AE4">
              <w:rPr>
                <w:bCs/>
                <w:i/>
                <w:iCs/>
                <w:sz w:val="22"/>
                <w:szCs w:val="22"/>
              </w:rPr>
              <w:t>rgatitja e nj</w:t>
            </w:r>
            <w:r w:rsidR="00774E87">
              <w:rPr>
                <w:bCs/>
                <w:i/>
                <w:iCs/>
                <w:sz w:val="22"/>
                <w:szCs w:val="22"/>
              </w:rPr>
              <w:t>ë</w:t>
            </w:r>
            <w:r w:rsidR="00740DF8" w:rsidRPr="008C1AE4">
              <w:rPr>
                <w:bCs/>
                <w:i/>
                <w:iCs/>
                <w:sz w:val="22"/>
                <w:szCs w:val="22"/>
              </w:rPr>
              <w:t xml:space="preserve"> moduli p</w:t>
            </w:r>
            <w:r w:rsidR="00774E87">
              <w:rPr>
                <w:bCs/>
                <w:i/>
                <w:iCs/>
                <w:sz w:val="22"/>
                <w:szCs w:val="22"/>
              </w:rPr>
              <w:t>ë</w:t>
            </w:r>
            <w:r w:rsidR="00740DF8" w:rsidRPr="008C1AE4">
              <w:rPr>
                <w:bCs/>
                <w:i/>
                <w:iCs/>
                <w:sz w:val="22"/>
                <w:szCs w:val="22"/>
              </w:rPr>
              <w:t>r ç</w:t>
            </w:r>
            <w:r w:rsidR="00774E87">
              <w:rPr>
                <w:bCs/>
                <w:i/>
                <w:iCs/>
                <w:sz w:val="22"/>
                <w:szCs w:val="22"/>
              </w:rPr>
              <w:t>ë</w:t>
            </w:r>
            <w:r w:rsidR="00740DF8" w:rsidRPr="008C1AE4">
              <w:rPr>
                <w:bCs/>
                <w:i/>
                <w:iCs/>
                <w:sz w:val="22"/>
                <w:szCs w:val="22"/>
              </w:rPr>
              <w:t>shtjet dhe t</w:t>
            </w:r>
            <w:r w:rsidR="00774E87">
              <w:rPr>
                <w:bCs/>
                <w:i/>
                <w:iCs/>
                <w:sz w:val="22"/>
                <w:szCs w:val="22"/>
              </w:rPr>
              <w:t>ë</w:t>
            </w:r>
            <w:r w:rsidR="00740DF8" w:rsidRPr="008C1AE4">
              <w:rPr>
                <w:bCs/>
                <w:i/>
                <w:iCs/>
                <w:sz w:val="22"/>
                <w:szCs w:val="22"/>
              </w:rPr>
              <w:t xml:space="preserve"> drejtat e personave LGBTI+ si pjes</w:t>
            </w:r>
            <w:r w:rsidR="00774E87">
              <w:rPr>
                <w:bCs/>
                <w:i/>
                <w:iCs/>
                <w:sz w:val="22"/>
                <w:szCs w:val="22"/>
              </w:rPr>
              <w:t>ë</w:t>
            </w:r>
            <w:r w:rsidR="00740DF8" w:rsidRPr="008C1AE4">
              <w:rPr>
                <w:bCs/>
                <w:i/>
                <w:iCs/>
                <w:sz w:val="22"/>
                <w:szCs w:val="22"/>
              </w:rPr>
              <w:t xml:space="preserve"> e ciklit trajnues p</w:t>
            </w:r>
            <w:r w:rsidR="00774E87">
              <w:rPr>
                <w:bCs/>
                <w:i/>
                <w:iCs/>
                <w:sz w:val="22"/>
                <w:szCs w:val="22"/>
              </w:rPr>
              <w:t>ë</w:t>
            </w:r>
            <w:r w:rsidR="00740DF8" w:rsidRPr="008C1AE4">
              <w:rPr>
                <w:bCs/>
                <w:i/>
                <w:iCs/>
                <w:sz w:val="22"/>
                <w:szCs w:val="22"/>
              </w:rPr>
              <w:t>r n</w:t>
            </w:r>
            <w:r w:rsidR="00774E87">
              <w:rPr>
                <w:bCs/>
                <w:i/>
                <w:iCs/>
                <w:sz w:val="22"/>
                <w:szCs w:val="22"/>
              </w:rPr>
              <w:t>ë</w:t>
            </w:r>
            <w:r w:rsidR="00740DF8" w:rsidRPr="008C1AE4">
              <w:rPr>
                <w:bCs/>
                <w:i/>
                <w:iCs/>
                <w:sz w:val="22"/>
                <w:szCs w:val="22"/>
              </w:rPr>
              <w:t>pun</w:t>
            </w:r>
            <w:r w:rsidR="00774E87">
              <w:rPr>
                <w:bCs/>
                <w:i/>
                <w:iCs/>
                <w:sz w:val="22"/>
                <w:szCs w:val="22"/>
              </w:rPr>
              <w:t>ë</w:t>
            </w:r>
            <w:r w:rsidR="00740DF8" w:rsidRPr="008C1AE4">
              <w:rPr>
                <w:bCs/>
                <w:i/>
                <w:iCs/>
                <w:sz w:val="22"/>
                <w:szCs w:val="22"/>
              </w:rPr>
              <w:t>set dhe n</w:t>
            </w:r>
            <w:r w:rsidR="00774E87">
              <w:rPr>
                <w:bCs/>
                <w:i/>
                <w:iCs/>
                <w:sz w:val="22"/>
                <w:szCs w:val="22"/>
              </w:rPr>
              <w:t>ë</w:t>
            </w:r>
            <w:r w:rsidR="00740DF8" w:rsidRPr="008C1AE4">
              <w:rPr>
                <w:bCs/>
                <w:i/>
                <w:iCs/>
                <w:sz w:val="22"/>
                <w:szCs w:val="22"/>
              </w:rPr>
              <w:t>pun</w:t>
            </w:r>
            <w:r w:rsidR="00774E87">
              <w:rPr>
                <w:bCs/>
                <w:i/>
                <w:iCs/>
                <w:sz w:val="22"/>
                <w:szCs w:val="22"/>
              </w:rPr>
              <w:t>ë</w:t>
            </w:r>
            <w:r w:rsidR="00740DF8" w:rsidRPr="008C1AE4">
              <w:rPr>
                <w:bCs/>
                <w:i/>
                <w:iCs/>
                <w:sz w:val="22"/>
                <w:szCs w:val="22"/>
              </w:rPr>
              <w:t>sit civil</w:t>
            </w:r>
            <w:r w:rsidR="00774E87">
              <w:rPr>
                <w:bCs/>
                <w:i/>
                <w:iCs/>
                <w:sz w:val="22"/>
                <w:szCs w:val="22"/>
              </w:rPr>
              <w:t>ë</w:t>
            </w:r>
            <w:r w:rsidR="00740DF8" w:rsidRPr="008C1AE4">
              <w:rPr>
                <w:bCs/>
                <w:i/>
                <w:iCs/>
                <w:sz w:val="22"/>
                <w:szCs w:val="22"/>
              </w:rPr>
              <w:t xml:space="preserve">. </w:t>
            </w:r>
            <w:r w:rsidR="002663BD" w:rsidRPr="0005701D">
              <w:rPr>
                <w:bCs/>
                <w:i/>
                <w:iCs/>
                <w:sz w:val="22"/>
                <w:szCs w:val="22"/>
              </w:rPr>
              <w:t xml:space="preserve"> </w:t>
            </w:r>
          </w:p>
        </w:tc>
        <w:tc>
          <w:tcPr>
            <w:tcW w:w="2067" w:type="dxa"/>
            <w:shd w:val="clear" w:color="auto" w:fill="auto"/>
          </w:tcPr>
          <w:p w:rsidR="00006118" w:rsidRPr="0005701D" w:rsidRDefault="00740DF8" w:rsidP="008C1AE4">
            <w:pPr>
              <w:jc w:val="center"/>
              <w:rPr>
                <w:bCs/>
                <w:i/>
                <w:sz w:val="22"/>
                <w:szCs w:val="22"/>
                <w:lang w:val="en-US"/>
              </w:rPr>
            </w:pPr>
            <w:r w:rsidRPr="008C1AE4">
              <w:rPr>
                <w:bCs/>
                <w:i/>
                <w:sz w:val="22"/>
                <w:szCs w:val="22"/>
                <w:lang w:val="en-US"/>
              </w:rPr>
              <w:t>Moduli i p</w:t>
            </w:r>
            <w:r w:rsidR="00774E87">
              <w:rPr>
                <w:bCs/>
                <w:i/>
                <w:sz w:val="22"/>
                <w:szCs w:val="22"/>
                <w:lang w:val="en-US"/>
              </w:rPr>
              <w:t>ë</w:t>
            </w:r>
            <w:r w:rsidRPr="008C1AE4">
              <w:rPr>
                <w:bCs/>
                <w:i/>
                <w:sz w:val="22"/>
                <w:szCs w:val="22"/>
                <w:lang w:val="en-US"/>
              </w:rPr>
              <w:t>rgatitur</w:t>
            </w:r>
          </w:p>
        </w:tc>
        <w:tc>
          <w:tcPr>
            <w:tcW w:w="2067" w:type="dxa"/>
            <w:gridSpan w:val="2"/>
            <w:shd w:val="clear" w:color="auto" w:fill="auto"/>
          </w:tcPr>
          <w:p w:rsidR="00006118" w:rsidRPr="0005701D" w:rsidRDefault="00740DF8" w:rsidP="008C1AE4">
            <w:pPr>
              <w:jc w:val="center"/>
              <w:rPr>
                <w:b/>
                <w:i/>
                <w:iCs/>
                <w:sz w:val="22"/>
                <w:szCs w:val="22"/>
                <w:lang w:val="en-US"/>
              </w:rPr>
            </w:pPr>
            <w:r w:rsidRPr="008C1AE4">
              <w:rPr>
                <w:b/>
                <w:i/>
                <w:iCs/>
                <w:sz w:val="22"/>
                <w:szCs w:val="22"/>
              </w:rPr>
              <w:t>ASPA</w:t>
            </w:r>
            <w:r w:rsidR="006D5C6C" w:rsidRPr="0005701D">
              <w:rPr>
                <w:b/>
                <w:i/>
                <w:iCs/>
                <w:sz w:val="22"/>
                <w:szCs w:val="22"/>
              </w:rPr>
              <w:t xml:space="preserve"> </w:t>
            </w:r>
          </w:p>
        </w:tc>
        <w:tc>
          <w:tcPr>
            <w:tcW w:w="2520" w:type="dxa"/>
            <w:gridSpan w:val="2"/>
            <w:shd w:val="clear" w:color="auto" w:fill="auto"/>
          </w:tcPr>
          <w:p w:rsidR="00006118" w:rsidRPr="0005701D" w:rsidRDefault="00740DF8" w:rsidP="008C1AE4">
            <w:pPr>
              <w:jc w:val="center"/>
              <w:rPr>
                <w:bCs/>
                <w:i/>
                <w:sz w:val="22"/>
                <w:szCs w:val="22"/>
                <w:lang w:val="en-US"/>
              </w:rPr>
            </w:pPr>
            <w:r w:rsidRPr="0005701D">
              <w:rPr>
                <w:i/>
                <w:iCs/>
                <w:sz w:val="22"/>
                <w:szCs w:val="22"/>
              </w:rPr>
              <w:t>MSHMS, AP, KMD, OJF, Org. nd</w:t>
            </w:r>
            <w:r w:rsidR="00774E87">
              <w:rPr>
                <w:i/>
                <w:iCs/>
                <w:sz w:val="22"/>
                <w:szCs w:val="22"/>
              </w:rPr>
              <w:t>ë</w:t>
            </w:r>
            <w:r w:rsidRPr="0005701D">
              <w:rPr>
                <w:i/>
                <w:iCs/>
                <w:sz w:val="22"/>
                <w:szCs w:val="22"/>
              </w:rPr>
              <w:t>rkomb</w:t>
            </w:r>
            <w:r w:rsidR="00774E87">
              <w:rPr>
                <w:i/>
                <w:iCs/>
                <w:sz w:val="22"/>
                <w:szCs w:val="22"/>
              </w:rPr>
              <w:t>ë</w:t>
            </w:r>
            <w:r w:rsidRPr="0005701D">
              <w:rPr>
                <w:i/>
                <w:iCs/>
                <w:sz w:val="22"/>
                <w:szCs w:val="22"/>
              </w:rPr>
              <w:t>tare</w:t>
            </w:r>
          </w:p>
        </w:tc>
        <w:tc>
          <w:tcPr>
            <w:tcW w:w="1765" w:type="dxa"/>
            <w:shd w:val="clear" w:color="auto" w:fill="auto"/>
          </w:tcPr>
          <w:p w:rsidR="00740DF8" w:rsidRPr="0005701D" w:rsidRDefault="00740DF8" w:rsidP="008C1AE4">
            <w:pPr>
              <w:jc w:val="center"/>
              <w:rPr>
                <w:i/>
                <w:sz w:val="22"/>
                <w:szCs w:val="22"/>
              </w:rPr>
            </w:pPr>
            <w:r w:rsidRPr="0005701D">
              <w:rPr>
                <w:i/>
                <w:sz w:val="22"/>
                <w:szCs w:val="22"/>
              </w:rPr>
              <w:t xml:space="preserve">6-M-II 2021 </w:t>
            </w:r>
          </w:p>
          <w:p w:rsidR="00740DF8" w:rsidRPr="0005701D" w:rsidRDefault="00740DF8" w:rsidP="008C1AE4">
            <w:pPr>
              <w:jc w:val="center"/>
              <w:rPr>
                <w:i/>
                <w:sz w:val="22"/>
                <w:szCs w:val="22"/>
              </w:rPr>
            </w:pPr>
            <w:r w:rsidRPr="0005701D">
              <w:rPr>
                <w:i/>
                <w:sz w:val="22"/>
                <w:szCs w:val="22"/>
              </w:rPr>
              <w:t xml:space="preserve">– </w:t>
            </w:r>
          </w:p>
          <w:p w:rsidR="00006118" w:rsidRPr="0005701D" w:rsidRDefault="00740DF8" w:rsidP="008C1AE4">
            <w:pPr>
              <w:jc w:val="center"/>
              <w:rPr>
                <w:i/>
                <w:sz w:val="22"/>
                <w:szCs w:val="22"/>
                <w:lang w:val="en-US"/>
              </w:rPr>
            </w:pPr>
            <w:r w:rsidRPr="0005701D">
              <w:rPr>
                <w:i/>
                <w:sz w:val="22"/>
                <w:szCs w:val="22"/>
              </w:rPr>
              <w:t>6-M-I 2022</w:t>
            </w:r>
          </w:p>
        </w:tc>
      </w:tr>
      <w:tr w:rsidR="00295758" w:rsidRPr="00265B92" w:rsidTr="00BA6EFB">
        <w:trPr>
          <w:trHeight w:val="764"/>
        </w:trPr>
        <w:tc>
          <w:tcPr>
            <w:tcW w:w="7308" w:type="dxa"/>
            <w:gridSpan w:val="5"/>
            <w:shd w:val="clear" w:color="auto" w:fill="auto"/>
          </w:tcPr>
          <w:p w:rsidR="00295758" w:rsidRPr="0005701D" w:rsidRDefault="00740DF8" w:rsidP="008C1AE4">
            <w:pPr>
              <w:jc w:val="both"/>
              <w:rPr>
                <w:i/>
                <w:sz w:val="22"/>
                <w:szCs w:val="22"/>
                <w:lang w:val="en-US"/>
              </w:rPr>
            </w:pPr>
            <w:r>
              <w:rPr>
                <w:i/>
                <w:sz w:val="22"/>
                <w:szCs w:val="22"/>
                <w:lang w:val="en-US"/>
              </w:rPr>
              <w:lastRenderedPageBreak/>
              <w:t>I</w:t>
            </w:r>
            <w:r w:rsidR="00295758" w:rsidRPr="0005701D">
              <w:rPr>
                <w:i/>
                <w:sz w:val="22"/>
                <w:szCs w:val="22"/>
                <w:lang w:val="en-US"/>
              </w:rPr>
              <w:t>.1.1.b.</w:t>
            </w:r>
            <w:r w:rsidR="00295758" w:rsidRPr="0005701D">
              <w:rPr>
                <w:i/>
                <w:iCs/>
                <w:sz w:val="22"/>
                <w:szCs w:val="22"/>
                <w:lang w:val="en-US"/>
              </w:rPr>
              <w:t xml:space="preserve"> </w:t>
            </w:r>
            <w:r w:rsidR="00DC7F71">
              <w:rPr>
                <w:bCs/>
                <w:i/>
                <w:iCs/>
                <w:sz w:val="22"/>
                <w:szCs w:val="22"/>
              </w:rPr>
              <w:t>T</w:t>
            </w:r>
            <w:r w:rsidR="00834C32" w:rsidRPr="0005701D">
              <w:rPr>
                <w:bCs/>
                <w:i/>
                <w:iCs/>
                <w:sz w:val="22"/>
                <w:szCs w:val="22"/>
              </w:rPr>
              <w:t>rajnim</w:t>
            </w:r>
            <w:r w:rsidR="008374C4">
              <w:rPr>
                <w:bCs/>
                <w:i/>
                <w:iCs/>
                <w:sz w:val="22"/>
                <w:szCs w:val="22"/>
              </w:rPr>
              <w:t>i</w:t>
            </w:r>
            <w:r w:rsidR="00834C32" w:rsidRPr="0005701D">
              <w:rPr>
                <w:bCs/>
                <w:i/>
                <w:iCs/>
                <w:sz w:val="22"/>
                <w:szCs w:val="22"/>
              </w:rPr>
              <w:t xml:space="preserve"> </w:t>
            </w:r>
            <w:r w:rsidR="008374C4">
              <w:rPr>
                <w:bCs/>
                <w:i/>
                <w:iCs/>
                <w:sz w:val="22"/>
                <w:szCs w:val="22"/>
              </w:rPr>
              <w:t>i p</w:t>
            </w:r>
            <w:r w:rsidR="00774E87">
              <w:rPr>
                <w:bCs/>
                <w:i/>
                <w:iCs/>
                <w:sz w:val="22"/>
                <w:szCs w:val="22"/>
              </w:rPr>
              <w:t>ë</w:t>
            </w:r>
            <w:r w:rsidR="008374C4">
              <w:rPr>
                <w:bCs/>
                <w:i/>
                <w:iCs/>
                <w:sz w:val="22"/>
                <w:szCs w:val="22"/>
              </w:rPr>
              <w:t>rvitsh</w:t>
            </w:r>
            <w:r w:rsidR="00774E87">
              <w:rPr>
                <w:bCs/>
                <w:i/>
                <w:iCs/>
                <w:sz w:val="22"/>
                <w:szCs w:val="22"/>
              </w:rPr>
              <w:t>ë</w:t>
            </w:r>
            <w:r w:rsidR="008374C4">
              <w:rPr>
                <w:bCs/>
                <w:i/>
                <w:iCs/>
                <w:sz w:val="22"/>
                <w:szCs w:val="22"/>
              </w:rPr>
              <w:t>m</w:t>
            </w:r>
            <w:r w:rsidR="00CD70F3">
              <w:rPr>
                <w:bCs/>
                <w:i/>
                <w:iCs/>
                <w:sz w:val="22"/>
                <w:szCs w:val="22"/>
              </w:rPr>
              <w:t xml:space="preserve"> </w:t>
            </w:r>
            <w:r w:rsidR="00834C32" w:rsidRPr="0005701D">
              <w:rPr>
                <w:bCs/>
                <w:i/>
                <w:iCs/>
                <w:sz w:val="22"/>
                <w:szCs w:val="22"/>
              </w:rPr>
              <w:t xml:space="preserve">për </w:t>
            </w:r>
            <w:r>
              <w:rPr>
                <w:bCs/>
                <w:i/>
                <w:iCs/>
                <w:sz w:val="22"/>
                <w:szCs w:val="22"/>
              </w:rPr>
              <w:t>n</w:t>
            </w:r>
            <w:r w:rsidR="00774E87">
              <w:rPr>
                <w:bCs/>
                <w:i/>
                <w:iCs/>
                <w:sz w:val="22"/>
                <w:szCs w:val="22"/>
              </w:rPr>
              <w:t>ë</w:t>
            </w:r>
            <w:r>
              <w:rPr>
                <w:bCs/>
                <w:i/>
                <w:iCs/>
                <w:sz w:val="22"/>
                <w:szCs w:val="22"/>
              </w:rPr>
              <w:t>pun</w:t>
            </w:r>
            <w:r w:rsidR="00774E87">
              <w:rPr>
                <w:bCs/>
                <w:i/>
                <w:iCs/>
                <w:sz w:val="22"/>
                <w:szCs w:val="22"/>
              </w:rPr>
              <w:t>ë</w:t>
            </w:r>
            <w:r>
              <w:rPr>
                <w:bCs/>
                <w:i/>
                <w:iCs/>
                <w:sz w:val="22"/>
                <w:szCs w:val="22"/>
              </w:rPr>
              <w:t xml:space="preserve">set dhe </w:t>
            </w:r>
            <w:r w:rsidR="00834C32" w:rsidRPr="0005701D">
              <w:rPr>
                <w:bCs/>
                <w:i/>
                <w:iCs/>
                <w:sz w:val="22"/>
                <w:szCs w:val="22"/>
              </w:rPr>
              <w:t>nëpunësit civil</w:t>
            </w:r>
            <w:r w:rsidR="00A75030" w:rsidRPr="0005701D">
              <w:rPr>
                <w:bCs/>
                <w:i/>
                <w:iCs/>
                <w:sz w:val="22"/>
                <w:szCs w:val="22"/>
              </w:rPr>
              <w:t>ë</w:t>
            </w:r>
            <w:r w:rsidR="00834C32" w:rsidRPr="0005701D">
              <w:rPr>
                <w:bCs/>
                <w:i/>
                <w:iCs/>
                <w:sz w:val="22"/>
                <w:szCs w:val="22"/>
              </w:rPr>
              <w:t xml:space="preserve"> mbi respektimin e të drejtave të </w:t>
            </w:r>
            <w:r>
              <w:rPr>
                <w:bCs/>
                <w:i/>
                <w:iCs/>
                <w:sz w:val="22"/>
                <w:szCs w:val="22"/>
              </w:rPr>
              <w:t>personave</w:t>
            </w:r>
            <w:r w:rsidRPr="0005701D">
              <w:rPr>
                <w:bCs/>
                <w:i/>
                <w:iCs/>
                <w:sz w:val="22"/>
                <w:szCs w:val="22"/>
              </w:rPr>
              <w:t xml:space="preserve"> </w:t>
            </w:r>
            <w:r w:rsidR="0029487E" w:rsidRPr="0005701D">
              <w:rPr>
                <w:bCs/>
                <w:i/>
                <w:iCs/>
                <w:sz w:val="22"/>
                <w:szCs w:val="22"/>
              </w:rPr>
              <w:t>LGBTI</w:t>
            </w:r>
            <w:r>
              <w:rPr>
                <w:bCs/>
                <w:i/>
                <w:iCs/>
                <w:sz w:val="22"/>
                <w:szCs w:val="22"/>
              </w:rPr>
              <w:t>+</w:t>
            </w:r>
            <w:r w:rsidR="00834C32" w:rsidRPr="0005701D">
              <w:rPr>
                <w:bCs/>
                <w:i/>
                <w:iCs/>
                <w:sz w:val="22"/>
                <w:szCs w:val="22"/>
              </w:rPr>
              <w:t>.</w:t>
            </w:r>
          </w:p>
        </w:tc>
        <w:tc>
          <w:tcPr>
            <w:tcW w:w="2067" w:type="dxa"/>
            <w:shd w:val="clear" w:color="auto" w:fill="auto"/>
          </w:tcPr>
          <w:p w:rsidR="00295758" w:rsidRPr="0005701D" w:rsidDel="00C05DFE" w:rsidRDefault="00740DF8" w:rsidP="008C1AE4">
            <w:pPr>
              <w:jc w:val="center"/>
              <w:rPr>
                <w:bCs/>
                <w:i/>
                <w:sz w:val="22"/>
                <w:szCs w:val="22"/>
                <w:lang w:val="en-US"/>
              </w:rPr>
            </w:pPr>
            <w:r>
              <w:rPr>
                <w:bCs/>
                <w:i/>
                <w:sz w:val="22"/>
                <w:szCs w:val="22"/>
                <w:lang w:val="en-US"/>
              </w:rPr>
              <w:t>N</w:t>
            </w:r>
            <w:r w:rsidR="00774E87">
              <w:rPr>
                <w:bCs/>
                <w:i/>
                <w:sz w:val="22"/>
                <w:szCs w:val="22"/>
                <w:lang w:val="en-US"/>
              </w:rPr>
              <w:t>ë</w:t>
            </w:r>
            <w:r>
              <w:rPr>
                <w:bCs/>
                <w:i/>
                <w:sz w:val="22"/>
                <w:szCs w:val="22"/>
                <w:lang w:val="en-US"/>
              </w:rPr>
              <w:t>pun</w:t>
            </w:r>
            <w:r w:rsidR="00774E87">
              <w:rPr>
                <w:bCs/>
                <w:i/>
                <w:sz w:val="22"/>
                <w:szCs w:val="22"/>
                <w:lang w:val="en-US"/>
              </w:rPr>
              <w:t>ë</w:t>
            </w:r>
            <w:r>
              <w:rPr>
                <w:bCs/>
                <w:i/>
                <w:sz w:val="22"/>
                <w:szCs w:val="22"/>
                <w:lang w:val="en-US"/>
              </w:rPr>
              <w:t>se dhe n</w:t>
            </w:r>
            <w:r w:rsidR="00774E87">
              <w:rPr>
                <w:bCs/>
                <w:i/>
                <w:sz w:val="22"/>
                <w:szCs w:val="22"/>
                <w:lang w:val="en-US"/>
              </w:rPr>
              <w:t>ë</w:t>
            </w:r>
            <w:r>
              <w:rPr>
                <w:bCs/>
                <w:i/>
                <w:sz w:val="22"/>
                <w:szCs w:val="22"/>
                <w:lang w:val="en-US"/>
              </w:rPr>
              <w:t>pun</w:t>
            </w:r>
            <w:r w:rsidR="00774E87">
              <w:rPr>
                <w:bCs/>
                <w:i/>
                <w:sz w:val="22"/>
                <w:szCs w:val="22"/>
                <w:lang w:val="en-US"/>
              </w:rPr>
              <w:t>ë</w:t>
            </w:r>
            <w:r>
              <w:rPr>
                <w:bCs/>
                <w:i/>
                <w:sz w:val="22"/>
                <w:szCs w:val="22"/>
                <w:lang w:val="en-US"/>
              </w:rPr>
              <w:t>s civil</w:t>
            </w:r>
            <w:r w:rsidR="00774E87">
              <w:rPr>
                <w:bCs/>
                <w:i/>
                <w:sz w:val="22"/>
                <w:szCs w:val="22"/>
                <w:lang w:val="en-US"/>
              </w:rPr>
              <w:t>ë</w:t>
            </w:r>
            <w:r>
              <w:rPr>
                <w:bCs/>
                <w:i/>
                <w:sz w:val="22"/>
                <w:szCs w:val="22"/>
                <w:lang w:val="en-US"/>
              </w:rPr>
              <w:t xml:space="preserve"> qendror</w:t>
            </w:r>
            <w:r w:rsidR="00774E87">
              <w:rPr>
                <w:bCs/>
                <w:i/>
                <w:sz w:val="22"/>
                <w:szCs w:val="22"/>
                <w:lang w:val="en-US"/>
              </w:rPr>
              <w:t>ë</w:t>
            </w:r>
            <w:r>
              <w:rPr>
                <w:bCs/>
                <w:i/>
                <w:sz w:val="22"/>
                <w:szCs w:val="22"/>
                <w:lang w:val="en-US"/>
              </w:rPr>
              <w:t xml:space="preserve"> e vendor t</w:t>
            </w:r>
            <w:r w:rsidR="00774E87">
              <w:rPr>
                <w:bCs/>
                <w:i/>
                <w:sz w:val="22"/>
                <w:szCs w:val="22"/>
                <w:lang w:val="en-US"/>
              </w:rPr>
              <w:t>ë</w:t>
            </w:r>
            <w:r>
              <w:rPr>
                <w:bCs/>
                <w:i/>
                <w:sz w:val="22"/>
                <w:szCs w:val="22"/>
                <w:lang w:val="en-US"/>
              </w:rPr>
              <w:t xml:space="preserve"> trajnuar</w:t>
            </w:r>
          </w:p>
        </w:tc>
        <w:tc>
          <w:tcPr>
            <w:tcW w:w="2067" w:type="dxa"/>
            <w:gridSpan w:val="2"/>
            <w:shd w:val="clear" w:color="auto" w:fill="auto"/>
          </w:tcPr>
          <w:p w:rsidR="00295758" w:rsidRPr="0005701D" w:rsidRDefault="00740DF8" w:rsidP="008C1AE4">
            <w:pPr>
              <w:jc w:val="center"/>
              <w:rPr>
                <w:b/>
                <w:sz w:val="22"/>
                <w:szCs w:val="22"/>
              </w:rPr>
            </w:pPr>
            <w:r>
              <w:rPr>
                <w:b/>
                <w:i/>
                <w:iCs/>
                <w:sz w:val="22"/>
                <w:szCs w:val="22"/>
              </w:rPr>
              <w:t>ASPA</w:t>
            </w:r>
          </w:p>
        </w:tc>
        <w:tc>
          <w:tcPr>
            <w:tcW w:w="2520" w:type="dxa"/>
            <w:gridSpan w:val="2"/>
            <w:shd w:val="clear" w:color="auto" w:fill="auto"/>
          </w:tcPr>
          <w:p w:rsidR="00295758" w:rsidRPr="0005701D" w:rsidDel="006D5C6C" w:rsidRDefault="00740DF8" w:rsidP="008C1AE4">
            <w:pPr>
              <w:jc w:val="center"/>
              <w:rPr>
                <w:bCs/>
                <w:i/>
                <w:sz w:val="22"/>
                <w:szCs w:val="22"/>
                <w:lang w:val="en-US"/>
              </w:rPr>
            </w:pPr>
            <w:r w:rsidRPr="00BD4B41">
              <w:rPr>
                <w:i/>
                <w:iCs/>
                <w:sz w:val="22"/>
                <w:szCs w:val="22"/>
              </w:rPr>
              <w:t>MSHMS,</w:t>
            </w:r>
            <w:r w:rsidR="00CD70F3">
              <w:rPr>
                <w:i/>
                <w:iCs/>
                <w:sz w:val="22"/>
                <w:szCs w:val="22"/>
              </w:rPr>
              <w:t xml:space="preserve"> ministrit</w:t>
            </w:r>
            <w:r w:rsidR="00774E87">
              <w:rPr>
                <w:i/>
                <w:iCs/>
                <w:sz w:val="22"/>
                <w:szCs w:val="22"/>
              </w:rPr>
              <w:t>ë</w:t>
            </w:r>
            <w:r w:rsidR="00CD70F3">
              <w:rPr>
                <w:i/>
                <w:iCs/>
                <w:sz w:val="22"/>
                <w:szCs w:val="22"/>
              </w:rPr>
              <w:t xml:space="preserve"> e linj</w:t>
            </w:r>
            <w:r w:rsidR="00774E87">
              <w:rPr>
                <w:i/>
                <w:iCs/>
                <w:sz w:val="22"/>
                <w:szCs w:val="22"/>
              </w:rPr>
              <w:t>ë</w:t>
            </w:r>
            <w:r w:rsidR="00CD70F3">
              <w:rPr>
                <w:i/>
                <w:iCs/>
                <w:sz w:val="22"/>
                <w:szCs w:val="22"/>
              </w:rPr>
              <w:t xml:space="preserve">s, NJVV, </w:t>
            </w:r>
            <w:r w:rsidRPr="00BD4B41">
              <w:rPr>
                <w:i/>
                <w:iCs/>
                <w:sz w:val="22"/>
                <w:szCs w:val="22"/>
              </w:rPr>
              <w:t>AP, KMD, OJF, Org. nd</w:t>
            </w:r>
            <w:r w:rsidR="00774E87">
              <w:rPr>
                <w:i/>
                <w:iCs/>
                <w:sz w:val="22"/>
                <w:szCs w:val="22"/>
              </w:rPr>
              <w:t>ë</w:t>
            </w:r>
            <w:r w:rsidRPr="00BD4B41">
              <w:rPr>
                <w:i/>
                <w:iCs/>
                <w:sz w:val="22"/>
                <w:szCs w:val="22"/>
              </w:rPr>
              <w:t>rkomb</w:t>
            </w:r>
            <w:r w:rsidR="00774E87">
              <w:rPr>
                <w:i/>
                <w:iCs/>
                <w:sz w:val="22"/>
                <w:szCs w:val="22"/>
              </w:rPr>
              <w:t>ë</w:t>
            </w:r>
            <w:r w:rsidRPr="00BD4B41">
              <w:rPr>
                <w:i/>
                <w:iCs/>
                <w:sz w:val="22"/>
                <w:szCs w:val="22"/>
              </w:rPr>
              <w:t>tare</w:t>
            </w:r>
            <w:r w:rsidRPr="008C1AE4" w:rsidDel="00740DF8">
              <w:rPr>
                <w:b/>
                <w:i/>
                <w:iCs/>
                <w:sz w:val="22"/>
                <w:szCs w:val="22"/>
              </w:rPr>
              <w:t xml:space="preserve"> </w:t>
            </w:r>
          </w:p>
        </w:tc>
        <w:tc>
          <w:tcPr>
            <w:tcW w:w="1765" w:type="dxa"/>
            <w:shd w:val="clear" w:color="auto" w:fill="auto"/>
          </w:tcPr>
          <w:p w:rsidR="00740DF8" w:rsidRPr="00BD4B41" w:rsidRDefault="00740DF8" w:rsidP="00740DF8">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740DF8" w:rsidRPr="00BD4B41" w:rsidRDefault="00740DF8" w:rsidP="00740DF8">
            <w:pPr>
              <w:jc w:val="center"/>
              <w:rPr>
                <w:i/>
                <w:sz w:val="22"/>
                <w:szCs w:val="22"/>
              </w:rPr>
            </w:pPr>
            <w:r w:rsidRPr="00BD4B41">
              <w:rPr>
                <w:i/>
                <w:sz w:val="22"/>
                <w:szCs w:val="22"/>
              </w:rPr>
              <w:t xml:space="preserve">– </w:t>
            </w:r>
          </w:p>
          <w:p w:rsidR="00295758" w:rsidRPr="0005701D" w:rsidDel="006D5C6C" w:rsidRDefault="00740DF8" w:rsidP="008C1AE4">
            <w:pPr>
              <w:jc w:val="center"/>
              <w:rPr>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740DF8" w:rsidRPr="008C1AE4" w:rsidTr="00BA6EFB">
        <w:trPr>
          <w:trHeight w:val="764"/>
        </w:trPr>
        <w:tc>
          <w:tcPr>
            <w:tcW w:w="7308" w:type="dxa"/>
            <w:gridSpan w:val="5"/>
            <w:shd w:val="clear" w:color="auto" w:fill="auto"/>
          </w:tcPr>
          <w:p w:rsidR="00740DF8" w:rsidRPr="008C1AE4" w:rsidRDefault="00740DF8" w:rsidP="00265B92">
            <w:pPr>
              <w:jc w:val="both"/>
              <w:rPr>
                <w:i/>
                <w:sz w:val="22"/>
                <w:szCs w:val="22"/>
                <w:lang w:val="en-US"/>
              </w:rPr>
            </w:pPr>
            <w:r>
              <w:rPr>
                <w:i/>
                <w:sz w:val="22"/>
                <w:szCs w:val="22"/>
                <w:lang w:val="en-US"/>
              </w:rPr>
              <w:t xml:space="preserve">I.1.1.c. </w:t>
            </w:r>
            <w:r w:rsidRPr="00740DF8">
              <w:rPr>
                <w:i/>
                <w:sz w:val="22"/>
                <w:szCs w:val="22"/>
                <w:lang w:val="en-US"/>
              </w:rPr>
              <w:t>Trajnimi i NBGJ qendrorë mbi çështjet e mosdiskriminimit dhe trajtimit të personave LGBTI+ në Shqipëri si dhe mbi përmbajtjen e  PKV për LGBTI+ 2021 - 2030</w:t>
            </w:r>
          </w:p>
        </w:tc>
        <w:tc>
          <w:tcPr>
            <w:tcW w:w="2067" w:type="dxa"/>
            <w:shd w:val="clear" w:color="auto" w:fill="auto"/>
          </w:tcPr>
          <w:p w:rsidR="00740DF8" w:rsidRPr="008C1AE4" w:rsidDel="00C05DFE" w:rsidRDefault="00740DF8" w:rsidP="00265B92">
            <w:pPr>
              <w:jc w:val="center"/>
              <w:rPr>
                <w:bCs/>
                <w:i/>
                <w:sz w:val="22"/>
                <w:szCs w:val="22"/>
                <w:lang w:val="en-US"/>
              </w:rPr>
            </w:pPr>
            <w:r>
              <w:rPr>
                <w:bCs/>
                <w:i/>
                <w:sz w:val="22"/>
                <w:szCs w:val="22"/>
                <w:lang w:val="en-US"/>
              </w:rPr>
              <w:t>NBGJ qendror</w:t>
            </w:r>
            <w:r w:rsidR="00774E87">
              <w:rPr>
                <w:bCs/>
                <w:i/>
                <w:sz w:val="22"/>
                <w:szCs w:val="22"/>
                <w:lang w:val="en-US"/>
              </w:rPr>
              <w:t>ë</w:t>
            </w:r>
            <w:r>
              <w:rPr>
                <w:bCs/>
                <w:i/>
                <w:sz w:val="22"/>
                <w:szCs w:val="22"/>
                <w:lang w:val="en-US"/>
              </w:rPr>
              <w:t xml:space="preserve"> t</w:t>
            </w:r>
            <w:r w:rsidR="00774E87">
              <w:rPr>
                <w:bCs/>
                <w:i/>
                <w:sz w:val="22"/>
                <w:szCs w:val="22"/>
                <w:lang w:val="en-US"/>
              </w:rPr>
              <w:t>ë</w:t>
            </w:r>
            <w:r>
              <w:rPr>
                <w:bCs/>
                <w:i/>
                <w:sz w:val="22"/>
                <w:szCs w:val="22"/>
                <w:lang w:val="en-US"/>
              </w:rPr>
              <w:t xml:space="preserve"> trajnuar</w:t>
            </w:r>
          </w:p>
        </w:tc>
        <w:tc>
          <w:tcPr>
            <w:tcW w:w="2067" w:type="dxa"/>
            <w:gridSpan w:val="2"/>
            <w:shd w:val="clear" w:color="auto" w:fill="auto"/>
          </w:tcPr>
          <w:p w:rsidR="00740DF8" w:rsidRPr="008C1AE4" w:rsidRDefault="00740DF8" w:rsidP="00265B92">
            <w:pPr>
              <w:jc w:val="center"/>
              <w:rPr>
                <w:b/>
                <w:i/>
                <w:iCs/>
                <w:sz w:val="22"/>
                <w:szCs w:val="22"/>
              </w:rPr>
            </w:pPr>
            <w:r>
              <w:rPr>
                <w:b/>
                <w:i/>
                <w:iCs/>
                <w:sz w:val="22"/>
                <w:szCs w:val="22"/>
              </w:rPr>
              <w:t>MSHMS</w:t>
            </w:r>
          </w:p>
        </w:tc>
        <w:tc>
          <w:tcPr>
            <w:tcW w:w="2520" w:type="dxa"/>
            <w:gridSpan w:val="2"/>
            <w:shd w:val="clear" w:color="auto" w:fill="auto"/>
          </w:tcPr>
          <w:p w:rsidR="00740DF8" w:rsidRPr="008C1AE4" w:rsidRDefault="00CD70F3" w:rsidP="00265B92">
            <w:pPr>
              <w:jc w:val="center"/>
              <w:rPr>
                <w:b/>
                <w:i/>
                <w:iCs/>
                <w:sz w:val="22"/>
                <w:szCs w:val="22"/>
              </w:rPr>
            </w:pPr>
            <w:r>
              <w:rPr>
                <w:i/>
                <w:iCs/>
                <w:sz w:val="22"/>
                <w:szCs w:val="22"/>
              </w:rPr>
              <w:t>Ministrit</w:t>
            </w:r>
            <w:r w:rsidR="00774E87">
              <w:rPr>
                <w:i/>
                <w:iCs/>
                <w:sz w:val="22"/>
                <w:szCs w:val="22"/>
              </w:rPr>
              <w:t>ë</w:t>
            </w:r>
            <w:r>
              <w:rPr>
                <w:i/>
                <w:iCs/>
                <w:sz w:val="22"/>
                <w:szCs w:val="22"/>
              </w:rPr>
              <w:t xml:space="preserve"> e linj</w:t>
            </w:r>
            <w:r w:rsidR="00774E87">
              <w:rPr>
                <w:i/>
                <w:iCs/>
                <w:sz w:val="22"/>
                <w:szCs w:val="22"/>
              </w:rPr>
              <w:t>ë</w:t>
            </w:r>
            <w:r>
              <w:rPr>
                <w:i/>
                <w:iCs/>
                <w:sz w:val="22"/>
                <w:szCs w:val="22"/>
              </w:rPr>
              <w:t xml:space="preserve">s, </w:t>
            </w:r>
            <w:r w:rsidR="00167C96" w:rsidRPr="00BD4B41">
              <w:rPr>
                <w:i/>
                <w:iCs/>
                <w:sz w:val="22"/>
                <w:szCs w:val="22"/>
              </w:rPr>
              <w:t>Org. nd</w:t>
            </w:r>
            <w:r w:rsidR="00774E87">
              <w:rPr>
                <w:i/>
                <w:iCs/>
                <w:sz w:val="22"/>
                <w:szCs w:val="22"/>
              </w:rPr>
              <w:t>ë</w:t>
            </w:r>
            <w:r w:rsidR="00167C96" w:rsidRPr="00BD4B41">
              <w:rPr>
                <w:i/>
                <w:iCs/>
                <w:sz w:val="22"/>
                <w:szCs w:val="22"/>
              </w:rPr>
              <w:t>rkomb</w:t>
            </w:r>
            <w:r w:rsidR="00774E87">
              <w:rPr>
                <w:i/>
                <w:iCs/>
                <w:sz w:val="22"/>
                <w:szCs w:val="22"/>
              </w:rPr>
              <w:t>ë</w:t>
            </w:r>
            <w:r w:rsidR="00167C96" w:rsidRPr="00BD4B41">
              <w:rPr>
                <w:i/>
                <w:iCs/>
                <w:sz w:val="22"/>
                <w:szCs w:val="22"/>
              </w:rPr>
              <w:t>tare</w:t>
            </w:r>
          </w:p>
        </w:tc>
        <w:tc>
          <w:tcPr>
            <w:tcW w:w="1765" w:type="dxa"/>
            <w:shd w:val="clear" w:color="auto" w:fill="auto"/>
          </w:tcPr>
          <w:p w:rsidR="00167C96" w:rsidRPr="00BD4B41" w:rsidRDefault="00167C96" w:rsidP="00167C96">
            <w:pPr>
              <w:jc w:val="center"/>
              <w:rPr>
                <w:i/>
                <w:sz w:val="22"/>
                <w:szCs w:val="22"/>
              </w:rPr>
            </w:pPr>
            <w:r w:rsidRPr="00BD4B41">
              <w:rPr>
                <w:i/>
                <w:sz w:val="22"/>
                <w:szCs w:val="22"/>
              </w:rPr>
              <w:t>6-M-</w:t>
            </w:r>
            <w:r>
              <w:rPr>
                <w:i/>
                <w:sz w:val="22"/>
                <w:szCs w:val="22"/>
              </w:rPr>
              <w:t>II 2021</w:t>
            </w:r>
            <w:r w:rsidRPr="00BD4B41">
              <w:rPr>
                <w:i/>
                <w:sz w:val="22"/>
                <w:szCs w:val="22"/>
              </w:rPr>
              <w:t xml:space="preserve"> </w:t>
            </w:r>
          </w:p>
          <w:p w:rsidR="00167C96" w:rsidRPr="00BD4B41" w:rsidRDefault="00167C96" w:rsidP="00167C96">
            <w:pPr>
              <w:jc w:val="center"/>
              <w:rPr>
                <w:i/>
                <w:sz w:val="22"/>
                <w:szCs w:val="22"/>
              </w:rPr>
            </w:pPr>
            <w:r w:rsidRPr="00BD4B41">
              <w:rPr>
                <w:i/>
                <w:sz w:val="22"/>
                <w:szCs w:val="22"/>
              </w:rPr>
              <w:t xml:space="preserve">– </w:t>
            </w:r>
          </w:p>
          <w:p w:rsidR="00740DF8" w:rsidRPr="008C1AE4" w:rsidRDefault="00167C96" w:rsidP="008C1AE4">
            <w:pPr>
              <w:jc w:val="center"/>
              <w:rPr>
                <w:b/>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1</w:t>
            </w:r>
          </w:p>
        </w:tc>
      </w:tr>
      <w:tr w:rsidR="00167C96" w:rsidRPr="008C1AE4" w:rsidTr="00BA6EFB">
        <w:trPr>
          <w:trHeight w:val="764"/>
        </w:trPr>
        <w:tc>
          <w:tcPr>
            <w:tcW w:w="7308" w:type="dxa"/>
            <w:gridSpan w:val="5"/>
            <w:shd w:val="clear" w:color="auto" w:fill="auto"/>
          </w:tcPr>
          <w:p w:rsidR="00167C96" w:rsidRDefault="00167C96" w:rsidP="00167C96">
            <w:pPr>
              <w:jc w:val="both"/>
              <w:rPr>
                <w:i/>
                <w:sz w:val="22"/>
                <w:szCs w:val="22"/>
                <w:lang w:val="en-US"/>
              </w:rPr>
            </w:pPr>
            <w:r>
              <w:rPr>
                <w:i/>
                <w:sz w:val="22"/>
                <w:szCs w:val="22"/>
                <w:lang w:val="en-US"/>
              </w:rPr>
              <w:t xml:space="preserve">I.1.1.d. </w:t>
            </w:r>
            <w:r w:rsidRPr="00167C96">
              <w:rPr>
                <w:i/>
                <w:sz w:val="22"/>
                <w:szCs w:val="22"/>
                <w:lang w:val="en-US"/>
              </w:rPr>
              <w:t>Trajnimi i NBGJ vendorë dhe KV kundër dhunës në familje në të 61 bashkitë  mbi çështjet e mosdiskriminimit dhe trajtimit të personave LGBTI+ në Shqipëri si dhe mbi përmbajtjen e  PKV për LGBTI+ 2021 - 2030</w:t>
            </w:r>
          </w:p>
        </w:tc>
        <w:tc>
          <w:tcPr>
            <w:tcW w:w="2067" w:type="dxa"/>
            <w:shd w:val="clear" w:color="auto" w:fill="auto"/>
          </w:tcPr>
          <w:p w:rsidR="00167C96" w:rsidRDefault="00167C96" w:rsidP="00167C96">
            <w:pPr>
              <w:jc w:val="center"/>
              <w:rPr>
                <w:bCs/>
                <w:i/>
                <w:sz w:val="22"/>
                <w:szCs w:val="22"/>
                <w:lang w:val="en-US"/>
              </w:rPr>
            </w:pPr>
            <w:r>
              <w:rPr>
                <w:bCs/>
                <w:i/>
                <w:sz w:val="22"/>
                <w:szCs w:val="22"/>
                <w:lang w:val="en-US"/>
              </w:rPr>
              <w:t>NBGJ dhe KV vendor</w:t>
            </w:r>
            <w:r w:rsidR="00775CA9">
              <w:rPr>
                <w:bCs/>
                <w:i/>
                <w:sz w:val="22"/>
                <w:szCs w:val="22"/>
                <w:lang w:val="en-US"/>
              </w:rPr>
              <w:t>ë</w:t>
            </w:r>
            <w:r>
              <w:rPr>
                <w:bCs/>
                <w:i/>
                <w:sz w:val="22"/>
                <w:szCs w:val="22"/>
                <w:lang w:val="en-US"/>
              </w:rPr>
              <w:t xml:space="preserve"> t</w:t>
            </w:r>
            <w:r w:rsidR="00774E87">
              <w:rPr>
                <w:bCs/>
                <w:i/>
                <w:sz w:val="22"/>
                <w:szCs w:val="22"/>
                <w:lang w:val="en-US"/>
              </w:rPr>
              <w:t>ë</w:t>
            </w:r>
            <w:r>
              <w:rPr>
                <w:bCs/>
                <w:i/>
                <w:sz w:val="22"/>
                <w:szCs w:val="22"/>
                <w:lang w:val="en-US"/>
              </w:rPr>
              <w:t xml:space="preserve"> trajnuar</w:t>
            </w:r>
          </w:p>
        </w:tc>
        <w:tc>
          <w:tcPr>
            <w:tcW w:w="2067" w:type="dxa"/>
            <w:gridSpan w:val="2"/>
            <w:shd w:val="clear" w:color="auto" w:fill="auto"/>
          </w:tcPr>
          <w:p w:rsidR="00167C96" w:rsidRDefault="00167C96" w:rsidP="00167C96">
            <w:pPr>
              <w:jc w:val="center"/>
              <w:rPr>
                <w:b/>
                <w:i/>
                <w:iCs/>
                <w:sz w:val="22"/>
                <w:szCs w:val="22"/>
              </w:rPr>
            </w:pPr>
            <w:r>
              <w:rPr>
                <w:b/>
                <w:i/>
                <w:iCs/>
                <w:sz w:val="22"/>
                <w:szCs w:val="22"/>
              </w:rPr>
              <w:t>MSHMS</w:t>
            </w:r>
          </w:p>
        </w:tc>
        <w:tc>
          <w:tcPr>
            <w:tcW w:w="2520" w:type="dxa"/>
            <w:gridSpan w:val="2"/>
            <w:shd w:val="clear" w:color="auto" w:fill="auto"/>
          </w:tcPr>
          <w:p w:rsidR="00167C96" w:rsidRPr="00BD4B41" w:rsidRDefault="00CD70F3" w:rsidP="00167C96">
            <w:pPr>
              <w:jc w:val="center"/>
              <w:rPr>
                <w:i/>
                <w:iCs/>
                <w:sz w:val="22"/>
                <w:szCs w:val="22"/>
              </w:rPr>
            </w:pPr>
            <w:r>
              <w:rPr>
                <w:i/>
                <w:iCs/>
                <w:sz w:val="22"/>
                <w:szCs w:val="22"/>
              </w:rPr>
              <w:t xml:space="preserve">NJVV, </w:t>
            </w:r>
            <w:r w:rsidR="00167C96" w:rsidRPr="00BD4B41">
              <w:rPr>
                <w:i/>
                <w:iCs/>
                <w:sz w:val="22"/>
                <w:szCs w:val="22"/>
              </w:rPr>
              <w:t>Org. nd</w:t>
            </w:r>
            <w:r w:rsidR="00774E87">
              <w:rPr>
                <w:i/>
                <w:iCs/>
                <w:sz w:val="22"/>
                <w:szCs w:val="22"/>
              </w:rPr>
              <w:t>ë</w:t>
            </w:r>
            <w:r w:rsidR="00167C96" w:rsidRPr="00BD4B41">
              <w:rPr>
                <w:i/>
                <w:iCs/>
                <w:sz w:val="22"/>
                <w:szCs w:val="22"/>
              </w:rPr>
              <w:t>rkomb</w:t>
            </w:r>
            <w:r w:rsidR="00774E87">
              <w:rPr>
                <w:i/>
                <w:iCs/>
                <w:sz w:val="22"/>
                <w:szCs w:val="22"/>
              </w:rPr>
              <w:t>ë</w:t>
            </w:r>
            <w:r w:rsidR="00167C96" w:rsidRPr="00BD4B41">
              <w:rPr>
                <w:i/>
                <w:iCs/>
                <w:sz w:val="22"/>
                <w:szCs w:val="22"/>
              </w:rPr>
              <w:t>tare</w:t>
            </w:r>
          </w:p>
        </w:tc>
        <w:tc>
          <w:tcPr>
            <w:tcW w:w="1765" w:type="dxa"/>
            <w:shd w:val="clear" w:color="auto" w:fill="auto"/>
          </w:tcPr>
          <w:p w:rsidR="00167C96" w:rsidRPr="00BD4B41" w:rsidRDefault="00167C96" w:rsidP="00167C96">
            <w:pPr>
              <w:jc w:val="center"/>
              <w:rPr>
                <w:i/>
                <w:sz w:val="22"/>
                <w:szCs w:val="22"/>
              </w:rPr>
            </w:pPr>
            <w:r w:rsidRPr="00BD4B41">
              <w:rPr>
                <w:i/>
                <w:sz w:val="22"/>
                <w:szCs w:val="22"/>
              </w:rPr>
              <w:t>6-M-</w:t>
            </w:r>
            <w:r>
              <w:rPr>
                <w:i/>
                <w:sz w:val="22"/>
                <w:szCs w:val="22"/>
              </w:rPr>
              <w:t>II 2021</w:t>
            </w:r>
            <w:r w:rsidRPr="00BD4B41">
              <w:rPr>
                <w:i/>
                <w:sz w:val="22"/>
                <w:szCs w:val="22"/>
              </w:rPr>
              <w:t xml:space="preserve"> </w:t>
            </w:r>
          </w:p>
          <w:p w:rsidR="00167C96" w:rsidRPr="00BD4B41" w:rsidRDefault="00167C96" w:rsidP="00167C96">
            <w:pPr>
              <w:jc w:val="center"/>
              <w:rPr>
                <w:i/>
                <w:sz w:val="22"/>
                <w:szCs w:val="22"/>
              </w:rPr>
            </w:pPr>
            <w:r w:rsidRPr="00BD4B41">
              <w:rPr>
                <w:i/>
                <w:sz w:val="22"/>
                <w:szCs w:val="22"/>
              </w:rPr>
              <w:t xml:space="preserve">– </w:t>
            </w:r>
          </w:p>
          <w:p w:rsidR="00167C96" w:rsidRPr="00BD4B41" w:rsidRDefault="00167C96" w:rsidP="008C1AE4">
            <w:pPr>
              <w:jc w:val="center"/>
              <w:rPr>
                <w:i/>
                <w:sz w:val="22"/>
                <w:szCs w:val="22"/>
              </w:rPr>
            </w:pPr>
            <w:r w:rsidRPr="00BD4B41">
              <w:rPr>
                <w:i/>
                <w:sz w:val="22"/>
                <w:szCs w:val="22"/>
              </w:rPr>
              <w:t>6-M-I 202</w:t>
            </w:r>
            <w:r>
              <w:rPr>
                <w:i/>
                <w:sz w:val="22"/>
                <w:szCs w:val="22"/>
              </w:rPr>
              <w:t>2</w:t>
            </w:r>
          </w:p>
        </w:tc>
      </w:tr>
      <w:tr w:rsidR="00167C96" w:rsidRPr="00265B92" w:rsidTr="00BA6EFB">
        <w:tc>
          <w:tcPr>
            <w:tcW w:w="9375" w:type="dxa"/>
            <w:gridSpan w:val="6"/>
            <w:shd w:val="clear" w:color="auto" w:fill="EAF1DD" w:themeFill="accent3" w:themeFillTint="33"/>
          </w:tcPr>
          <w:p w:rsidR="00167C96" w:rsidRPr="0005701D" w:rsidRDefault="00CD70F3" w:rsidP="008C1AE4">
            <w:pPr>
              <w:jc w:val="both"/>
              <w:rPr>
                <w:b/>
                <w:bCs/>
                <w:sz w:val="22"/>
                <w:szCs w:val="22"/>
                <w:lang w:val="en-US"/>
              </w:rPr>
            </w:pPr>
            <w:r>
              <w:rPr>
                <w:b/>
                <w:sz w:val="22"/>
                <w:szCs w:val="22"/>
                <w:lang w:val="en-US"/>
              </w:rPr>
              <w:t>I.1.2. P</w:t>
            </w:r>
            <w:r w:rsidR="00774E87">
              <w:rPr>
                <w:b/>
                <w:sz w:val="22"/>
                <w:szCs w:val="22"/>
                <w:lang w:val="en-US"/>
              </w:rPr>
              <w:t>ë</w:t>
            </w:r>
            <w:r>
              <w:rPr>
                <w:b/>
                <w:sz w:val="22"/>
                <w:szCs w:val="22"/>
                <w:lang w:val="en-US"/>
              </w:rPr>
              <w:t>rmir</w:t>
            </w:r>
            <w:r w:rsidR="00774E87">
              <w:rPr>
                <w:b/>
                <w:sz w:val="22"/>
                <w:szCs w:val="22"/>
                <w:lang w:val="en-US"/>
              </w:rPr>
              <w:t>ë</w:t>
            </w:r>
            <w:r>
              <w:rPr>
                <w:b/>
                <w:sz w:val="22"/>
                <w:szCs w:val="22"/>
                <w:lang w:val="en-US"/>
              </w:rPr>
              <w:t>simi i fokusit t</w:t>
            </w:r>
            <w:r w:rsidR="00774E87">
              <w:rPr>
                <w:b/>
                <w:sz w:val="22"/>
                <w:szCs w:val="22"/>
                <w:lang w:val="en-US"/>
              </w:rPr>
              <w:t>ë</w:t>
            </w:r>
            <w:r>
              <w:rPr>
                <w:b/>
                <w:sz w:val="22"/>
                <w:szCs w:val="22"/>
                <w:lang w:val="en-US"/>
              </w:rPr>
              <w:t xml:space="preserve"> sh</w:t>
            </w:r>
            <w:r w:rsidR="00774E87">
              <w:rPr>
                <w:b/>
                <w:sz w:val="22"/>
                <w:szCs w:val="22"/>
                <w:lang w:val="en-US"/>
              </w:rPr>
              <w:t>ë</w:t>
            </w:r>
            <w:r>
              <w:rPr>
                <w:b/>
                <w:sz w:val="22"/>
                <w:szCs w:val="22"/>
                <w:lang w:val="en-US"/>
              </w:rPr>
              <w:t>rbimeve mb</w:t>
            </w:r>
            <w:r w:rsidR="00774E87">
              <w:rPr>
                <w:b/>
                <w:sz w:val="22"/>
                <w:szCs w:val="22"/>
                <w:lang w:val="en-US"/>
              </w:rPr>
              <w:t>ë</w:t>
            </w:r>
            <w:r>
              <w:rPr>
                <w:b/>
                <w:sz w:val="22"/>
                <w:szCs w:val="22"/>
                <w:lang w:val="en-US"/>
              </w:rPr>
              <w:t>shtet</w:t>
            </w:r>
            <w:r w:rsidR="00774E87">
              <w:rPr>
                <w:b/>
                <w:sz w:val="22"/>
                <w:szCs w:val="22"/>
                <w:lang w:val="en-US"/>
              </w:rPr>
              <w:t>ë</w:t>
            </w:r>
            <w:r>
              <w:rPr>
                <w:b/>
                <w:sz w:val="22"/>
                <w:szCs w:val="22"/>
                <w:lang w:val="en-US"/>
              </w:rPr>
              <w:t>se t</w:t>
            </w:r>
            <w:r w:rsidR="00774E87">
              <w:rPr>
                <w:b/>
                <w:sz w:val="22"/>
                <w:szCs w:val="22"/>
                <w:lang w:val="en-US"/>
              </w:rPr>
              <w:t>ë</w:t>
            </w:r>
            <w:r>
              <w:rPr>
                <w:b/>
                <w:sz w:val="22"/>
                <w:szCs w:val="22"/>
                <w:lang w:val="en-US"/>
              </w:rPr>
              <w:t xml:space="preserve"> specializuara dhe kthimi i tyre n</w:t>
            </w:r>
            <w:r w:rsidR="00774E87">
              <w:rPr>
                <w:b/>
                <w:sz w:val="22"/>
                <w:szCs w:val="22"/>
                <w:lang w:val="en-US"/>
              </w:rPr>
              <w:t>ë</w:t>
            </w:r>
            <w:r>
              <w:rPr>
                <w:b/>
                <w:sz w:val="22"/>
                <w:szCs w:val="22"/>
                <w:lang w:val="en-US"/>
              </w:rPr>
              <w:t xml:space="preserve"> sh</w:t>
            </w:r>
            <w:r w:rsidR="00774E87">
              <w:rPr>
                <w:b/>
                <w:sz w:val="22"/>
                <w:szCs w:val="22"/>
                <w:lang w:val="en-US"/>
              </w:rPr>
              <w:t>ë</w:t>
            </w:r>
            <w:r>
              <w:rPr>
                <w:b/>
                <w:sz w:val="22"/>
                <w:szCs w:val="22"/>
                <w:lang w:val="en-US"/>
              </w:rPr>
              <w:t>rbime plot</w:t>
            </w:r>
            <w:r w:rsidR="00774E87">
              <w:rPr>
                <w:b/>
                <w:sz w:val="22"/>
                <w:szCs w:val="22"/>
                <w:lang w:val="en-US"/>
              </w:rPr>
              <w:t>ë</w:t>
            </w:r>
            <w:r>
              <w:rPr>
                <w:b/>
                <w:sz w:val="22"/>
                <w:szCs w:val="22"/>
                <w:lang w:val="en-US"/>
              </w:rPr>
              <w:t>sisht miq</w:t>
            </w:r>
            <w:r w:rsidR="00774E87">
              <w:rPr>
                <w:b/>
                <w:sz w:val="22"/>
                <w:szCs w:val="22"/>
                <w:lang w:val="en-US"/>
              </w:rPr>
              <w:t>ë</w:t>
            </w:r>
            <w:r>
              <w:rPr>
                <w:b/>
                <w:sz w:val="22"/>
                <w:szCs w:val="22"/>
                <w:lang w:val="en-US"/>
              </w:rPr>
              <w:t>sore edhe p</w:t>
            </w:r>
            <w:r w:rsidR="00774E87">
              <w:rPr>
                <w:b/>
                <w:sz w:val="22"/>
                <w:szCs w:val="22"/>
                <w:lang w:val="en-US"/>
              </w:rPr>
              <w:t>ë</w:t>
            </w:r>
            <w:r>
              <w:rPr>
                <w:b/>
                <w:sz w:val="22"/>
                <w:szCs w:val="22"/>
                <w:lang w:val="en-US"/>
              </w:rPr>
              <w:t>r personat LGBTI+</w:t>
            </w:r>
          </w:p>
        </w:tc>
        <w:tc>
          <w:tcPr>
            <w:tcW w:w="2067" w:type="dxa"/>
            <w:gridSpan w:val="2"/>
            <w:shd w:val="clear" w:color="auto" w:fill="EAF1DD" w:themeFill="accent3" w:themeFillTint="33"/>
          </w:tcPr>
          <w:p w:rsidR="00167C96" w:rsidRPr="0005701D" w:rsidRDefault="00CD70F3" w:rsidP="008C1AE4">
            <w:pPr>
              <w:jc w:val="center"/>
              <w:rPr>
                <w:b/>
                <w:sz w:val="22"/>
                <w:szCs w:val="22"/>
              </w:rPr>
            </w:pPr>
            <w:r>
              <w:rPr>
                <w:b/>
                <w:sz w:val="22"/>
                <w:szCs w:val="22"/>
              </w:rPr>
              <w:t>MSHMS</w:t>
            </w:r>
          </w:p>
        </w:tc>
        <w:tc>
          <w:tcPr>
            <w:tcW w:w="2520" w:type="dxa"/>
            <w:gridSpan w:val="2"/>
            <w:shd w:val="clear" w:color="auto" w:fill="EAF1DD" w:themeFill="accent3" w:themeFillTint="33"/>
          </w:tcPr>
          <w:p w:rsidR="00167C96" w:rsidRPr="0005701D" w:rsidRDefault="00CD70F3" w:rsidP="008C1AE4">
            <w:pPr>
              <w:jc w:val="center"/>
              <w:rPr>
                <w:b/>
                <w:sz w:val="22"/>
                <w:szCs w:val="22"/>
                <w:lang w:val="en-US"/>
              </w:rPr>
            </w:pPr>
            <w:r w:rsidRPr="0005701D">
              <w:rPr>
                <w:b/>
                <w:i/>
                <w:iCs/>
                <w:sz w:val="22"/>
                <w:szCs w:val="22"/>
              </w:rPr>
              <w:t>NJVV, AP, KMD, OJF, Org. nd</w:t>
            </w:r>
            <w:r w:rsidR="00774E87" w:rsidRPr="0005701D">
              <w:rPr>
                <w:b/>
                <w:i/>
                <w:iCs/>
                <w:sz w:val="22"/>
                <w:szCs w:val="22"/>
              </w:rPr>
              <w:t>ë</w:t>
            </w:r>
            <w:r w:rsidRPr="0005701D">
              <w:rPr>
                <w:b/>
                <w:i/>
                <w:iCs/>
                <w:sz w:val="22"/>
                <w:szCs w:val="22"/>
              </w:rPr>
              <w:t>rkomb</w:t>
            </w:r>
            <w:r w:rsidR="00774E87" w:rsidRPr="0005701D">
              <w:rPr>
                <w:b/>
                <w:i/>
                <w:iCs/>
                <w:sz w:val="22"/>
                <w:szCs w:val="22"/>
              </w:rPr>
              <w:t>ë</w:t>
            </w:r>
            <w:r w:rsidRPr="0005701D">
              <w:rPr>
                <w:b/>
                <w:i/>
                <w:iCs/>
                <w:sz w:val="22"/>
                <w:szCs w:val="22"/>
              </w:rPr>
              <w:t>tare</w:t>
            </w:r>
            <w:r w:rsidRPr="00995BF3" w:rsidDel="00740DF8">
              <w:rPr>
                <w:b/>
                <w:i/>
                <w:iCs/>
                <w:sz w:val="22"/>
                <w:szCs w:val="22"/>
              </w:rPr>
              <w:t xml:space="preserve"> </w:t>
            </w:r>
          </w:p>
        </w:tc>
        <w:tc>
          <w:tcPr>
            <w:tcW w:w="1765" w:type="dxa"/>
            <w:shd w:val="clear" w:color="auto" w:fill="EAF1DD" w:themeFill="accent3" w:themeFillTint="33"/>
          </w:tcPr>
          <w:p w:rsidR="009C6589" w:rsidRPr="0005701D" w:rsidRDefault="009C6589" w:rsidP="009C6589">
            <w:pPr>
              <w:jc w:val="center"/>
              <w:rPr>
                <w:b/>
                <w:sz w:val="22"/>
                <w:szCs w:val="22"/>
              </w:rPr>
            </w:pPr>
            <w:r w:rsidRPr="0005701D">
              <w:rPr>
                <w:b/>
                <w:sz w:val="22"/>
                <w:szCs w:val="22"/>
              </w:rPr>
              <w:t xml:space="preserve">6-M-I 2022 </w:t>
            </w:r>
          </w:p>
          <w:p w:rsidR="009C6589" w:rsidRPr="0005701D" w:rsidRDefault="009C6589" w:rsidP="009C6589">
            <w:pPr>
              <w:jc w:val="center"/>
              <w:rPr>
                <w:b/>
                <w:sz w:val="22"/>
                <w:szCs w:val="22"/>
              </w:rPr>
            </w:pPr>
            <w:r w:rsidRPr="0005701D">
              <w:rPr>
                <w:b/>
                <w:sz w:val="22"/>
                <w:szCs w:val="22"/>
              </w:rPr>
              <w:t xml:space="preserve">– </w:t>
            </w:r>
          </w:p>
          <w:p w:rsidR="00167C96" w:rsidRPr="0005701D" w:rsidRDefault="009C6589" w:rsidP="009C6589">
            <w:pPr>
              <w:jc w:val="center"/>
              <w:rPr>
                <w:b/>
                <w:sz w:val="22"/>
                <w:szCs w:val="22"/>
              </w:rPr>
            </w:pPr>
            <w:r w:rsidRPr="0005701D">
              <w:rPr>
                <w:b/>
                <w:sz w:val="22"/>
                <w:szCs w:val="22"/>
              </w:rPr>
              <w:t>6-M-II 2027</w:t>
            </w:r>
          </w:p>
        </w:tc>
      </w:tr>
      <w:tr w:rsidR="00167C96" w:rsidRPr="00265B92" w:rsidTr="00BA6EFB">
        <w:tc>
          <w:tcPr>
            <w:tcW w:w="7308" w:type="dxa"/>
            <w:gridSpan w:val="5"/>
          </w:tcPr>
          <w:p w:rsidR="00167C96" w:rsidRPr="0005701D" w:rsidRDefault="00CD70F3" w:rsidP="008C1AE4">
            <w:pPr>
              <w:jc w:val="both"/>
              <w:rPr>
                <w:i/>
                <w:sz w:val="22"/>
                <w:szCs w:val="22"/>
                <w:lang w:val="en-US"/>
              </w:rPr>
            </w:pPr>
            <w:r>
              <w:rPr>
                <w:i/>
                <w:sz w:val="22"/>
                <w:szCs w:val="22"/>
                <w:lang w:val="en-US"/>
              </w:rPr>
              <w:t xml:space="preserve">I.1.2.a. </w:t>
            </w:r>
            <w:r w:rsidRPr="00CD70F3">
              <w:rPr>
                <w:i/>
                <w:sz w:val="22"/>
                <w:szCs w:val="22"/>
                <w:lang w:val="en-US"/>
              </w:rPr>
              <w:t>Rishikimi i standarteve të shërbimeve të kujdesit shoqëror p</w:t>
            </w:r>
            <w:r w:rsidR="00774E87">
              <w:rPr>
                <w:i/>
                <w:sz w:val="22"/>
                <w:szCs w:val="22"/>
                <w:lang w:val="en-US"/>
              </w:rPr>
              <w:t>ë</w:t>
            </w:r>
            <w:r w:rsidRPr="00CD70F3">
              <w:rPr>
                <w:i/>
                <w:sz w:val="22"/>
                <w:szCs w:val="22"/>
                <w:lang w:val="en-US"/>
              </w:rPr>
              <w:t>r sh</w:t>
            </w:r>
            <w:r w:rsidR="00774E87">
              <w:rPr>
                <w:i/>
                <w:sz w:val="22"/>
                <w:szCs w:val="22"/>
                <w:lang w:val="en-US"/>
              </w:rPr>
              <w:t>ë</w:t>
            </w:r>
            <w:r w:rsidRPr="00CD70F3">
              <w:rPr>
                <w:i/>
                <w:sz w:val="22"/>
                <w:szCs w:val="22"/>
                <w:lang w:val="en-US"/>
              </w:rPr>
              <w:t>rbimet mb</w:t>
            </w:r>
            <w:r w:rsidR="00774E87">
              <w:rPr>
                <w:i/>
                <w:sz w:val="22"/>
                <w:szCs w:val="22"/>
                <w:lang w:val="en-US"/>
              </w:rPr>
              <w:t>ë</w:t>
            </w:r>
            <w:r w:rsidRPr="00CD70F3">
              <w:rPr>
                <w:i/>
                <w:sz w:val="22"/>
                <w:szCs w:val="22"/>
                <w:lang w:val="en-US"/>
              </w:rPr>
              <w:t>shtet</w:t>
            </w:r>
            <w:r w:rsidR="00774E87">
              <w:rPr>
                <w:i/>
                <w:sz w:val="22"/>
                <w:szCs w:val="22"/>
                <w:lang w:val="en-US"/>
              </w:rPr>
              <w:t>ë</w:t>
            </w:r>
            <w:r w:rsidRPr="00CD70F3">
              <w:rPr>
                <w:i/>
                <w:sz w:val="22"/>
                <w:szCs w:val="22"/>
                <w:lang w:val="en-US"/>
              </w:rPr>
              <w:t>se t</w:t>
            </w:r>
            <w:r w:rsidR="00774E87">
              <w:rPr>
                <w:i/>
                <w:sz w:val="22"/>
                <w:szCs w:val="22"/>
                <w:lang w:val="en-US"/>
              </w:rPr>
              <w:t>ë</w:t>
            </w:r>
            <w:r w:rsidRPr="00CD70F3">
              <w:rPr>
                <w:i/>
                <w:sz w:val="22"/>
                <w:szCs w:val="22"/>
                <w:lang w:val="en-US"/>
              </w:rPr>
              <w:t xml:space="preserve"> specializuara dhe përfshirja në to e parimeve dhe standardeve t</w:t>
            </w:r>
            <w:r w:rsidR="00774E87">
              <w:rPr>
                <w:i/>
                <w:sz w:val="22"/>
                <w:szCs w:val="22"/>
                <w:lang w:val="en-US"/>
              </w:rPr>
              <w:t>ë</w:t>
            </w:r>
            <w:r w:rsidRPr="00CD70F3">
              <w:rPr>
                <w:i/>
                <w:sz w:val="22"/>
                <w:szCs w:val="22"/>
                <w:lang w:val="en-US"/>
              </w:rPr>
              <w:t xml:space="preserve"> ofrimit t</w:t>
            </w:r>
            <w:r w:rsidR="00774E87">
              <w:rPr>
                <w:i/>
                <w:sz w:val="22"/>
                <w:szCs w:val="22"/>
                <w:lang w:val="en-US"/>
              </w:rPr>
              <w:t>ë</w:t>
            </w:r>
            <w:r w:rsidRPr="00CD70F3">
              <w:rPr>
                <w:i/>
                <w:sz w:val="22"/>
                <w:szCs w:val="22"/>
                <w:lang w:val="en-US"/>
              </w:rPr>
              <w:t xml:space="preserve"> sh</w:t>
            </w:r>
            <w:r w:rsidR="00774E87">
              <w:rPr>
                <w:i/>
                <w:sz w:val="22"/>
                <w:szCs w:val="22"/>
                <w:lang w:val="en-US"/>
              </w:rPr>
              <w:t>ë</w:t>
            </w:r>
            <w:r w:rsidRPr="00CD70F3">
              <w:rPr>
                <w:i/>
                <w:sz w:val="22"/>
                <w:szCs w:val="22"/>
                <w:lang w:val="en-US"/>
              </w:rPr>
              <w:t>rbimeve miq</w:t>
            </w:r>
            <w:r w:rsidR="00774E87">
              <w:rPr>
                <w:i/>
                <w:sz w:val="22"/>
                <w:szCs w:val="22"/>
                <w:lang w:val="en-US"/>
              </w:rPr>
              <w:t>ë</w:t>
            </w:r>
            <w:r w:rsidRPr="00CD70F3">
              <w:rPr>
                <w:i/>
                <w:sz w:val="22"/>
                <w:szCs w:val="22"/>
                <w:lang w:val="en-US"/>
              </w:rPr>
              <w:t>sore edhe për personat LGBTI+.</w:t>
            </w:r>
          </w:p>
        </w:tc>
        <w:tc>
          <w:tcPr>
            <w:tcW w:w="2067" w:type="dxa"/>
          </w:tcPr>
          <w:p w:rsidR="00167C96" w:rsidRPr="0005701D" w:rsidRDefault="00CD70F3" w:rsidP="008C1AE4">
            <w:pPr>
              <w:jc w:val="center"/>
              <w:rPr>
                <w:bCs/>
                <w:i/>
                <w:sz w:val="22"/>
                <w:szCs w:val="22"/>
                <w:lang w:val="en-US"/>
              </w:rPr>
            </w:pPr>
            <w:r>
              <w:rPr>
                <w:bCs/>
                <w:i/>
                <w:sz w:val="22"/>
                <w:szCs w:val="22"/>
                <w:lang w:val="en-US"/>
              </w:rPr>
              <w:t>Standardet e rishikuara p</w:t>
            </w:r>
            <w:r w:rsidR="00774E87">
              <w:rPr>
                <w:bCs/>
                <w:i/>
                <w:sz w:val="22"/>
                <w:szCs w:val="22"/>
                <w:lang w:val="en-US"/>
              </w:rPr>
              <w:t>ë</w:t>
            </w:r>
            <w:r>
              <w:rPr>
                <w:bCs/>
                <w:i/>
                <w:sz w:val="22"/>
                <w:szCs w:val="22"/>
                <w:lang w:val="en-US"/>
              </w:rPr>
              <w:t>r 3 lloj sh</w:t>
            </w:r>
            <w:r w:rsidR="00774E87">
              <w:rPr>
                <w:bCs/>
                <w:i/>
                <w:sz w:val="22"/>
                <w:szCs w:val="22"/>
                <w:lang w:val="en-US"/>
              </w:rPr>
              <w:t>ë</w:t>
            </w:r>
            <w:r>
              <w:rPr>
                <w:bCs/>
                <w:i/>
                <w:sz w:val="22"/>
                <w:szCs w:val="22"/>
                <w:lang w:val="en-US"/>
              </w:rPr>
              <w:t>rbimesh t</w:t>
            </w:r>
            <w:r w:rsidR="00774E87">
              <w:rPr>
                <w:bCs/>
                <w:i/>
                <w:sz w:val="22"/>
                <w:szCs w:val="22"/>
                <w:lang w:val="en-US"/>
              </w:rPr>
              <w:t>ë</w:t>
            </w:r>
            <w:r>
              <w:rPr>
                <w:bCs/>
                <w:i/>
                <w:sz w:val="22"/>
                <w:szCs w:val="22"/>
                <w:lang w:val="en-US"/>
              </w:rPr>
              <w:t xml:space="preserve"> tilla</w:t>
            </w:r>
          </w:p>
        </w:tc>
        <w:tc>
          <w:tcPr>
            <w:tcW w:w="2067" w:type="dxa"/>
            <w:gridSpan w:val="2"/>
          </w:tcPr>
          <w:p w:rsidR="00167C96" w:rsidRPr="0005701D" w:rsidRDefault="00CD70F3" w:rsidP="008C1AE4">
            <w:pPr>
              <w:jc w:val="center"/>
              <w:rPr>
                <w:b/>
                <w:bCs/>
                <w:i/>
                <w:iCs/>
                <w:sz w:val="22"/>
                <w:szCs w:val="22"/>
                <w:lang w:val="en-US"/>
              </w:rPr>
            </w:pPr>
            <w:r>
              <w:rPr>
                <w:b/>
                <w:i/>
                <w:iCs/>
                <w:sz w:val="22"/>
                <w:szCs w:val="22"/>
              </w:rPr>
              <w:t>SHSSH</w:t>
            </w:r>
          </w:p>
        </w:tc>
        <w:tc>
          <w:tcPr>
            <w:tcW w:w="2520" w:type="dxa"/>
            <w:gridSpan w:val="2"/>
          </w:tcPr>
          <w:p w:rsidR="00167C96" w:rsidRPr="0005701D" w:rsidRDefault="00CD70F3" w:rsidP="008C1AE4">
            <w:pPr>
              <w:jc w:val="center"/>
              <w:rPr>
                <w:i/>
                <w:sz w:val="22"/>
                <w:szCs w:val="22"/>
                <w:lang w:val="en-US"/>
              </w:rPr>
            </w:pPr>
            <w:r>
              <w:rPr>
                <w:i/>
                <w:iCs/>
                <w:sz w:val="22"/>
                <w:szCs w:val="22"/>
              </w:rPr>
              <w:t xml:space="preserve">NJVV, </w:t>
            </w:r>
            <w:r w:rsidRPr="00BD4B41">
              <w:rPr>
                <w:i/>
                <w:iCs/>
                <w:sz w:val="22"/>
                <w:szCs w:val="22"/>
              </w:rPr>
              <w:t>AP, KMD, OJF, Org. nd</w:t>
            </w:r>
            <w:r w:rsidR="00774E87">
              <w:rPr>
                <w:i/>
                <w:iCs/>
                <w:sz w:val="22"/>
                <w:szCs w:val="22"/>
              </w:rPr>
              <w:t>ë</w:t>
            </w:r>
            <w:r w:rsidRPr="00BD4B41">
              <w:rPr>
                <w:i/>
                <w:iCs/>
                <w:sz w:val="22"/>
                <w:szCs w:val="22"/>
              </w:rPr>
              <w:t>rkomb</w:t>
            </w:r>
            <w:r w:rsidR="00774E87">
              <w:rPr>
                <w:i/>
                <w:iCs/>
                <w:sz w:val="22"/>
                <w:szCs w:val="22"/>
              </w:rPr>
              <w:t>ë</w:t>
            </w:r>
            <w:r w:rsidRPr="00BD4B41">
              <w:rPr>
                <w:i/>
                <w:iCs/>
                <w:sz w:val="22"/>
                <w:szCs w:val="22"/>
              </w:rPr>
              <w:t>tare</w:t>
            </w:r>
            <w:r w:rsidRPr="00BD4B41" w:rsidDel="00740DF8">
              <w:rPr>
                <w:b/>
                <w:i/>
                <w:iCs/>
                <w:sz w:val="22"/>
                <w:szCs w:val="22"/>
              </w:rPr>
              <w:t xml:space="preserve"> </w:t>
            </w:r>
          </w:p>
        </w:tc>
        <w:tc>
          <w:tcPr>
            <w:tcW w:w="1765" w:type="dxa"/>
          </w:tcPr>
          <w:p w:rsidR="00CD70F3" w:rsidRPr="00BD4B41" w:rsidRDefault="00CD70F3" w:rsidP="00CD70F3">
            <w:pPr>
              <w:jc w:val="center"/>
              <w:rPr>
                <w:i/>
                <w:sz w:val="22"/>
                <w:szCs w:val="22"/>
              </w:rPr>
            </w:pPr>
            <w:r w:rsidRPr="00BD4B41">
              <w:rPr>
                <w:i/>
                <w:sz w:val="22"/>
                <w:szCs w:val="22"/>
              </w:rPr>
              <w:t>6-M-</w:t>
            </w:r>
            <w:r>
              <w:rPr>
                <w:i/>
                <w:sz w:val="22"/>
                <w:szCs w:val="22"/>
              </w:rPr>
              <w:t>I 2022</w:t>
            </w:r>
            <w:r w:rsidRPr="00BD4B41">
              <w:rPr>
                <w:i/>
                <w:sz w:val="22"/>
                <w:szCs w:val="22"/>
              </w:rPr>
              <w:t xml:space="preserve"> </w:t>
            </w:r>
          </w:p>
          <w:p w:rsidR="00CD70F3" w:rsidRPr="00BD4B41" w:rsidRDefault="00CD70F3" w:rsidP="00CD70F3">
            <w:pPr>
              <w:jc w:val="center"/>
              <w:rPr>
                <w:i/>
                <w:sz w:val="22"/>
                <w:szCs w:val="22"/>
              </w:rPr>
            </w:pPr>
            <w:r w:rsidRPr="00BD4B41">
              <w:rPr>
                <w:i/>
                <w:sz w:val="22"/>
                <w:szCs w:val="22"/>
              </w:rPr>
              <w:t xml:space="preserve">– </w:t>
            </w:r>
          </w:p>
          <w:p w:rsidR="00167C96" w:rsidRPr="0005701D" w:rsidRDefault="00CD70F3" w:rsidP="008C1AE4">
            <w:pPr>
              <w:jc w:val="center"/>
              <w:rPr>
                <w:i/>
                <w:sz w:val="22"/>
                <w:szCs w:val="22"/>
                <w:lang w:val="en-US"/>
              </w:rPr>
            </w:pPr>
            <w:r w:rsidRPr="00BD4B41">
              <w:rPr>
                <w:i/>
                <w:sz w:val="22"/>
                <w:szCs w:val="22"/>
              </w:rPr>
              <w:t>6-M-I</w:t>
            </w:r>
            <w:r w:rsidR="00271AE1">
              <w:rPr>
                <w:i/>
                <w:sz w:val="22"/>
                <w:szCs w:val="22"/>
              </w:rPr>
              <w:t>I</w:t>
            </w:r>
            <w:r w:rsidRPr="00BD4B41">
              <w:rPr>
                <w:i/>
                <w:sz w:val="22"/>
                <w:szCs w:val="22"/>
              </w:rPr>
              <w:t xml:space="preserve"> 202</w:t>
            </w:r>
            <w:r>
              <w:rPr>
                <w:i/>
                <w:sz w:val="22"/>
                <w:szCs w:val="22"/>
              </w:rPr>
              <w:t>2</w:t>
            </w:r>
          </w:p>
        </w:tc>
      </w:tr>
      <w:tr w:rsidR="00271AE1" w:rsidRPr="008C1AE4" w:rsidTr="00BA6EFB">
        <w:tc>
          <w:tcPr>
            <w:tcW w:w="7308" w:type="dxa"/>
            <w:gridSpan w:val="5"/>
          </w:tcPr>
          <w:p w:rsidR="00271AE1" w:rsidRDefault="00271AE1" w:rsidP="00271AE1">
            <w:pPr>
              <w:jc w:val="both"/>
              <w:rPr>
                <w:i/>
                <w:sz w:val="22"/>
                <w:szCs w:val="22"/>
                <w:lang w:val="en-US"/>
              </w:rPr>
            </w:pPr>
            <w:r>
              <w:rPr>
                <w:i/>
                <w:sz w:val="22"/>
                <w:szCs w:val="22"/>
                <w:lang w:val="en-US"/>
              </w:rPr>
              <w:t xml:space="preserve">I.1.2.b. </w:t>
            </w:r>
            <w:r w:rsidRPr="00CD70F3">
              <w:rPr>
                <w:i/>
                <w:sz w:val="22"/>
                <w:szCs w:val="22"/>
                <w:lang w:val="en-US"/>
              </w:rPr>
              <w:t>Trajnimi i punonj</w:t>
            </w:r>
            <w:r w:rsidR="00774E87">
              <w:rPr>
                <w:i/>
                <w:sz w:val="22"/>
                <w:szCs w:val="22"/>
                <w:lang w:val="en-US"/>
              </w:rPr>
              <w:t>ë</w:t>
            </w:r>
            <w:r w:rsidRPr="00CD70F3">
              <w:rPr>
                <w:i/>
                <w:sz w:val="22"/>
                <w:szCs w:val="22"/>
                <w:lang w:val="en-US"/>
              </w:rPr>
              <w:t>seve dhe punonjësve të sh</w:t>
            </w:r>
            <w:r w:rsidR="00774E87">
              <w:rPr>
                <w:i/>
                <w:sz w:val="22"/>
                <w:szCs w:val="22"/>
                <w:lang w:val="en-US"/>
              </w:rPr>
              <w:t>ë</w:t>
            </w:r>
            <w:r w:rsidRPr="00CD70F3">
              <w:rPr>
                <w:i/>
                <w:sz w:val="22"/>
                <w:szCs w:val="22"/>
                <w:lang w:val="en-US"/>
              </w:rPr>
              <w:t>rbimeve mb</w:t>
            </w:r>
            <w:r w:rsidR="00774E87">
              <w:rPr>
                <w:i/>
                <w:sz w:val="22"/>
                <w:szCs w:val="22"/>
                <w:lang w:val="en-US"/>
              </w:rPr>
              <w:t>ë</w:t>
            </w:r>
            <w:r w:rsidRPr="00CD70F3">
              <w:rPr>
                <w:i/>
                <w:sz w:val="22"/>
                <w:szCs w:val="22"/>
                <w:lang w:val="en-US"/>
              </w:rPr>
              <w:t>shtet</w:t>
            </w:r>
            <w:r w:rsidR="00774E87">
              <w:rPr>
                <w:i/>
                <w:sz w:val="22"/>
                <w:szCs w:val="22"/>
                <w:lang w:val="en-US"/>
              </w:rPr>
              <w:t>ë</w:t>
            </w:r>
            <w:r w:rsidRPr="00CD70F3">
              <w:rPr>
                <w:i/>
                <w:sz w:val="22"/>
                <w:szCs w:val="22"/>
                <w:lang w:val="en-US"/>
              </w:rPr>
              <w:t>se t</w:t>
            </w:r>
            <w:r w:rsidR="00774E87">
              <w:rPr>
                <w:i/>
                <w:sz w:val="22"/>
                <w:szCs w:val="22"/>
                <w:lang w:val="en-US"/>
              </w:rPr>
              <w:t>ë</w:t>
            </w:r>
            <w:r w:rsidRPr="00CD70F3">
              <w:rPr>
                <w:i/>
                <w:sz w:val="22"/>
                <w:szCs w:val="22"/>
                <w:lang w:val="en-US"/>
              </w:rPr>
              <w:t xml:space="preserve"> specializuara për t</w:t>
            </w:r>
            <w:r w:rsidR="00774E87">
              <w:rPr>
                <w:i/>
                <w:sz w:val="22"/>
                <w:szCs w:val="22"/>
                <w:lang w:val="en-US"/>
              </w:rPr>
              <w:t>ë</w:t>
            </w:r>
            <w:r w:rsidRPr="00CD70F3">
              <w:rPr>
                <w:i/>
                <w:sz w:val="22"/>
                <w:szCs w:val="22"/>
                <w:lang w:val="en-US"/>
              </w:rPr>
              <w:t xml:space="preserve"> ofruar sh</w:t>
            </w:r>
            <w:r w:rsidR="00774E87">
              <w:rPr>
                <w:i/>
                <w:sz w:val="22"/>
                <w:szCs w:val="22"/>
                <w:lang w:val="en-US"/>
              </w:rPr>
              <w:t>ë</w:t>
            </w:r>
            <w:r w:rsidRPr="00CD70F3">
              <w:rPr>
                <w:i/>
                <w:sz w:val="22"/>
                <w:szCs w:val="22"/>
                <w:lang w:val="en-US"/>
              </w:rPr>
              <w:t>rbimet e duhura p</w:t>
            </w:r>
            <w:r w:rsidR="00774E87">
              <w:rPr>
                <w:i/>
                <w:sz w:val="22"/>
                <w:szCs w:val="22"/>
                <w:lang w:val="en-US"/>
              </w:rPr>
              <w:t>ë</w:t>
            </w:r>
            <w:r w:rsidRPr="00CD70F3">
              <w:rPr>
                <w:i/>
                <w:sz w:val="22"/>
                <w:szCs w:val="22"/>
                <w:lang w:val="en-US"/>
              </w:rPr>
              <w:t>r personat LGBTI+, n</w:t>
            </w:r>
            <w:r w:rsidR="00774E87">
              <w:rPr>
                <w:i/>
                <w:sz w:val="22"/>
                <w:szCs w:val="22"/>
                <w:lang w:val="en-US"/>
              </w:rPr>
              <w:t>ë</w:t>
            </w:r>
            <w:r w:rsidRPr="00CD70F3">
              <w:rPr>
                <w:i/>
                <w:sz w:val="22"/>
                <w:szCs w:val="22"/>
                <w:lang w:val="en-US"/>
              </w:rPr>
              <w:t xml:space="preserve"> p</w:t>
            </w:r>
            <w:r w:rsidR="00774E87">
              <w:rPr>
                <w:i/>
                <w:sz w:val="22"/>
                <w:szCs w:val="22"/>
                <w:lang w:val="en-US"/>
              </w:rPr>
              <w:t>ë</w:t>
            </w:r>
            <w:r w:rsidRPr="00CD70F3">
              <w:rPr>
                <w:i/>
                <w:sz w:val="22"/>
                <w:szCs w:val="22"/>
                <w:lang w:val="en-US"/>
              </w:rPr>
              <w:t>rputhje me standardet e rishikuara</w:t>
            </w:r>
          </w:p>
        </w:tc>
        <w:tc>
          <w:tcPr>
            <w:tcW w:w="2067" w:type="dxa"/>
          </w:tcPr>
          <w:p w:rsidR="00271AE1" w:rsidRDefault="00271AE1" w:rsidP="008C1AE4">
            <w:pPr>
              <w:jc w:val="center"/>
              <w:rPr>
                <w:bCs/>
                <w:i/>
                <w:sz w:val="22"/>
                <w:szCs w:val="22"/>
                <w:lang w:val="en-US"/>
              </w:rPr>
            </w:pPr>
            <w:r>
              <w:rPr>
                <w:bCs/>
                <w:i/>
                <w:sz w:val="22"/>
                <w:szCs w:val="22"/>
                <w:lang w:val="en-US"/>
              </w:rPr>
              <w:t>Punonj</w:t>
            </w:r>
            <w:r w:rsidR="00774E87">
              <w:rPr>
                <w:bCs/>
                <w:i/>
                <w:sz w:val="22"/>
                <w:szCs w:val="22"/>
                <w:lang w:val="en-US"/>
              </w:rPr>
              <w:t>ë</w:t>
            </w:r>
            <w:r>
              <w:rPr>
                <w:bCs/>
                <w:i/>
                <w:sz w:val="22"/>
                <w:szCs w:val="22"/>
                <w:lang w:val="en-US"/>
              </w:rPr>
              <w:t>se dhe punonj</w:t>
            </w:r>
            <w:r w:rsidR="00774E87">
              <w:rPr>
                <w:bCs/>
                <w:i/>
                <w:sz w:val="22"/>
                <w:szCs w:val="22"/>
                <w:lang w:val="en-US"/>
              </w:rPr>
              <w:t>ë</w:t>
            </w:r>
            <w:r>
              <w:rPr>
                <w:bCs/>
                <w:i/>
                <w:sz w:val="22"/>
                <w:szCs w:val="22"/>
                <w:lang w:val="en-US"/>
              </w:rPr>
              <w:t>s t</w:t>
            </w:r>
            <w:r w:rsidR="00774E87">
              <w:rPr>
                <w:bCs/>
                <w:i/>
                <w:sz w:val="22"/>
                <w:szCs w:val="22"/>
                <w:lang w:val="en-US"/>
              </w:rPr>
              <w:t>ë</w:t>
            </w:r>
            <w:r>
              <w:rPr>
                <w:bCs/>
                <w:i/>
                <w:sz w:val="22"/>
                <w:szCs w:val="22"/>
                <w:lang w:val="en-US"/>
              </w:rPr>
              <w:t xml:space="preserve">  trajnuar</w:t>
            </w:r>
          </w:p>
        </w:tc>
        <w:tc>
          <w:tcPr>
            <w:tcW w:w="2067" w:type="dxa"/>
            <w:gridSpan w:val="2"/>
          </w:tcPr>
          <w:p w:rsidR="00271AE1" w:rsidRDefault="00271AE1" w:rsidP="00271AE1">
            <w:pPr>
              <w:jc w:val="center"/>
              <w:rPr>
                <w:b/>
                <w:i/>
                <w:iCs/>
                <w:sz w:val="22"/>
                <w:szCs w:val="22"/>
              </w:rPr>
            </w:pPr>
            <w:r>
              <w:rPr>
                <w:b/>
                <w:i/>
                <w:iCs/>
                <w:sz w:val="22"/>
                <w:szCs w:val="22"/>
              </w:rPr>
              <w:t>SHSSH</w:t>
            </w:r>
          </w:p>
        </w:tc>
        <w:tc>
          <w:tcPr>
            <w:tcW w:w="2520" w:type="dxa"/>
            <w:gridSpan w:val="2"/>
          </w:tcPr>
          <w:p w:rsidR="00271AE1" w:rsidRDefault="00271AE1" w:rsidP="00271AE1">
            <w:pPr>
              <w:jc w:val="center"/>
              <w:rPr>
                <w:i/>
                <w:iCs/>
                <w:sz w:val="22"/>
                <w:szCs w:val="22"/>
              </w:rPr>
            </w:pPr>
            <w:r>
              <w:rPr>
                <w:i/>
                <w:iCs/>
                <w:sz w:val="22"/>
                <w:szCs w:val="22"/>
              </w:rPr>
              <w:t xml:space="preserve">NJVV, </w:t>
            </w:r>
            <w:r w:rsidRPr="00BD4B41">
              <w:rPr>
                <w:i/>
                <w:iCs/>
                <w:sz w:val="22"/>
                <w:szCs w:val="22"/>
              </w:rPr>
              <w:t>AP, KMD, OJF, Org. nd</w:t>
            </w:r>
            <w:r w:rsidR="00774E87">
              <w:rPr>
                <w:i/>
                <w:iCs/>
                <w:sz w:val="22"/>
                <w:szCs w:val="22"/>
              </w:rPr>
              <w:t>ë</w:t>
            </w:r>
            <w:r w:rsidRPr="00BD4B41">
              <w:rPr>
                <w:i/>
                <w:iCs/>
                <w:sz w:val="22"/>
                <w:szCs w:val="22"/>
              </w:rPr>
              <w:t>rkomb</w:t>
            </w:r>
            <w:r w:rsidR="00774E87">
              <w:rPr>
                <w:i/>
                <w:iCs/>
                <w:sz w:val="22"/>
                <w:szCs w:val="22"/>
              </w:rPr>
              <w:t>ë</w:t>
            </w:r>
            <w:r w:rsidRPr="00BD4B41">
              <w:rPr>
                <w:i/>
                <w:iCs/>
                <w:sz w:val="22"/>
                <w:szCs w:val="22"/>
              </w:rPr>
              <w:t>tare</w:t>
            </w:r>
            <w:r w:rsidRPr="00BD4B41" w:rsidDel="00740DF8">
              <w:rPr>
                <w:b/>
                <w:i/>
                <w:iCs/>
                <w:sz w:val="22"/>
                <w:szCs w:val="22"/>
              </w:rPr>
              <w:t xml:space="preserve"> </w:t>
            </w:r>
          </w:p>
        </w:tc>
        <w:tc>
          <w:tcPr>
            <w:tcW w:w="1765" w:type="dxa"/>
          </w:tcPr>
          <w:p w:rsidR="00271AE1" w:rsidRPr="00BD4B41" w:rsidRDefault="00271AE1" w:rsidP="00271AE1">
            <w:pPr>
              <w:jc w:val="center"/>
              <w:rPr>
                <w:i/>
                <w:sz w:val="22"/>
                <w:szCs w:val="22"/>
              </w:rPr>
            </w:pPr>
            <w:r w:rsidRPr="00BD4B41">
              <w:rPr>
                <w:i/>
                <w:sz w:val="22"/>
                <w:szCs w:val="22"/>
              </w:rPr>
              <w:t>6-M-</w:t>
            </w:r>
            <w:r>
              <w:rPr>
                <w:i/>
                <w:sz w:val="22"/>
                <w:szCs w:val="22"/>
              </w:rPr>
              <w:t>I 2023</w:t>
            </w:r>
            <w:r w:rsidRPr="00BD4B41">
              <w:rPr>
                <w:i/>
                <w:sz w:val="22"/>
                <w:szCs w:val="22"/>
              </w:rPr>
              <w:t xml:space="preserve"> </w:t>
            </w:r>
          </w:p>
          <w:p w:rsidR="00271AE1" w:rsidRPr="00BD4B41" w:rsidRDefault="00271AE1" w:rsidP="00271AE1">
            <w:pPr>
              <w:jc w:val="center"/>
              <w:rPr>
                <w:i/>
                <w:sz w:val="22"/>
                <w:szCs w:val="22"/>
              </w:rPr>
            </w:pPr>
            <w:r w:rsidRPr="00BD4B41">
              <w:rPr>
                <w:i/>
                <w:sz w:val="22"/>
                <w:szCs w:val="22"/>
              </w:rPr>
              <w:t xml:space="preserve">– </w:t>
            </w:r>
          </w:p>
          <w:p w:rsidR="00271AE1" w:rsidRPr="00BD4B41" w:rsidRDefault="00271AE1" w:rsidP="008C1AE4">
            <w:pPr>
              <w:jc w:val="center"/>
              <w:rPr>
                <w:i/>
                <w:sz w:val="22"/>
                <w:szCs w:val="22"/>
              </w:rPr>
            </w:pPr>
            <w:r w:rsidRPr="00BD4B41">
              <w:rPr>
                <w:i/>
                <w:sz w:val="22"/>
                <w:szCs w:val="22"/>
              </w:rPr>
              <w:t>6-M-I</w:t>
            </w:r>
            <w:r w:rsidR="003E0752">
              <w:rPr>
                <w:i/>
                <w:sz w:val="22"/>
                <w:szCs w:val="22"/>
              </w:rPr>
              <w:t>I</w:t>
            </w:r>
            <w:r w:rsidRPr="00BD4B41">
              <w:rPr>
                <w:i/>
                <w:sz w:val="22"/>
                <w:szCs w:val="22"/>
              </w:rPr>
              <w:t xml:space="preserve"> 202</w:t>
            </w:r>
            <w:r>
              <w:rPr>
                <w:i/>
                <w:sz w:val="22"/>
                <w:szCs w:val="22"/>
              </w:rPr>
              <w:t>4</w:t>
            </w:r>
          </w:p>
        </w:tc>
      </w:tr>
      <w:tr w:rsidR="00271AE1" w:rsidRPr="008C1AE4" w:rsidTr="00BA6EFB">
        <w:tc>
          <w:tcPr>
            <w:tcW w:w="7308" w:type="dxa"/>
            <w:gridSpan w:val="5"/>
          </w:tcPr>
          <w:p w:rsidR="00271AE1" w:rsidRDefault="00271AE1" w:rsidP="00271AE1">
            <w:pPr>
              <w:jc w:val="both"/>
              <w:rPr>
                <w:i/>
                <w:sz w:val="22"/>
                <w:szCs w:val="22"/>
                <w:lang w:val="en-US"/>
              </w:rPr>
            </w:pPr>
            <w:r>
              <w:rPr>
                <w:i/>
                <w:sz w:val="22"/>
                <w:szCs w:val="22"/>
                <w:lang w:val="en-US"/>
              </w:rPr>
              <w:t xml:space="preserve">I.1.2.c. </w:t>
            </w:r>
            <w:r w:rsidR="00E057E4" w:rsidRPr="00E057E4">
              <w:rPr>
                <w:i/>
                <w:sz w:val="22"/>
                <w:szCs w:val="22"/>
                <w:lang w:val="en-US"/>
              </w:rPr>
              <w:t>Trajnimi i an</w:t>
            </w:r>
            <w:r w:rsidR="00774E87">
              <w:rPr>
                <w:i/>
                <w:sz w:val="22"/>
                <w:szCs w:val="22"/>
                <w:lang w:val="en-US"/>
              </w:rPr>
              <w:t>ë</w:t>
            </w:r>
            <w:r w:rsidR="00E057E4" w:rsidRPr="00E057E4">
              <w:rPr>
                <w:i/>
                <w:sz w:val="22"/>
                <w:szCs w:val="22"/>
                <w:lang w:val="en-US"/>
              </w:rPr>
              <w:t>tareve t</w:t>
            </w:r>
            <w:r w:rsidR="00774E87">
              <w:rPr>
                <w:i/>
                <w:sz w:val="22"/>
                <w:szCs w:val="22"/>
                <w:lang w:val="en-US"/>
              </w:rPr>
              <w:t>ë</w:t>
            </w:r>
            <w:r w:rsidR="00E057E4" w:rsidRPr="00E057E4">
              <w:rPr>
                <w:i/>
                <w:sz w:val="22"/>
                <w:szCs w:val="22"/>
                <w:lang w:val="en-US"/>
              </w:rPr>
              <w:t xml:space="preserve"> Ekipeve Teknike Nd</w:t>
            </w:r>
            <w:r w:rsidR="00774E87">
              <w:rPr>
                <w:i/>
                <w:sz w:val="22"/>
                <w:szCs w:val="22"/>
                <w:lang w:val="en-US"/>
              </w:rPr>
              <w:t>ë</w:t>
            </w:r>
            <w:r w:rsidR="00E057E4" w:rsidRPr="00E057E4">
              <w:rPr>
                <w:i/>
                <w:sz w:val="22"/>
                <w:szCs w:val="22"/>
                <w:lang w:val="en-US"/>
              </w:rPr>
              <w:t>rdisiplinare t</w:t>
            </w:r>
            <w:r w:rsidR="00774E87">
              <w:rPr>
                <w:i/>
                <w:sz w:val="22"/>
                <w:szCs w:val="22"/>
                <w:lang w:val="en-US"/>
              </w:rPr>
              <w:t>ë</w:t>
            </w:r>
            <w:r w:rsidR="00E057E4" w:rsidRPr="00E057E4">
              <w:rPr>
                <w:i/>
                <w:sz w:val="22"/>
                <w:szCs w:val="22"/>
                <w:lang w:val="en-US"/>
              </w:rPr>
              <w:t xml:space="preserve"> Mekanizmave t</w:t>
            </w:r>
            <w:r w:rsidR="00774E87">
              <w:rPr>
                <w:i/>
                <w:sz w:val="22"/>
                <w:szCs w:val="22"/>
                <w:lang w:val="en-US"/>
              </w:rPr>
              <w:t>ë</w:t>
            </w:r>
            <w:r w:rsidR="00E057E4" w:rsidRPr="00E057E4">
              <w:rPr>
                <w:i/>
                <w:sz w:val="22"/>
                <w:szCs w:val="22"/>
                <w:lang w:val="en-US"/>
              </w:rPr>
              <w:t xml:space="preserve"> Koordinuar t</w:t>
            </w:r>
            <w:r w:rsidR="00774E87">
              <w:rPr>
                <w:i/>
                <w:sz w:val="22"/>
                <w:szCs w:val="22"/>
                <w:lang w:val="en-US"/>
              </w:rPr>
              <w:t>ë</w:t>
            </w:r>
            <w:r w:rsidR="00E057E4" w:rsidRPr="00E057E4">
              <w:rPr>
                <w:i/>
                <w:sz w:val="22"/>
                <w:szCs w:val="22"/>
                <w:lang w:val="en-US"/>
              </w:rPr>
              <w:t xml:space="preserve"> Referimit kund</w:t>
            </w:r>
            <w:r w:rsidR="00774E87">
              <w:rPr>
                <w:i/>
                <w:sz w:val="22"/>
                <w:szCs w:val="22"/>
                <w:lang w:val="en-US"/>
              </w:rPr>
              <w:t>ë</w:t>
            </w:r>
            <w:r w:rsidR="00E057E4" w:rsidRPr="00E057E4">
              <w:rPr>
                <w:i/>
                <w:sz w:val="22"/>
                <w:szCs w:val="22"/>
                <w:lang w:val="en-US"/>
              </w:rPr>
              <w:t>r dhun</w:t>
            </w:r>
            <w:r w:rsidR="00774E87">
              <w:rPr>
                <w:i/>
                <w:sz w:val="22"/>
                <w:szCs w:val="22"/>
                <w:lang w:val="en-US"/>
              </w:rPr>
              <w:t>ë</w:t>
            </w:r>
            <w:r w:rsidR="00E057E4" w:rsidRPr="00E057E4">
              <w:rPr>
                <w:i/>
                <w:sz w:val="22"/>
                <w:szCs w:val="22"/>
                <w:lang w:val="en-US"/>
              </w:rPr>
              <w:t>s n</w:t>
            </w:r>
            <w:r w:rsidR="00774E87">
              <w:rPr>
                <w:i/>
                <w:sz w:val="22"/>
                <w:szCs w:val="22"/>
                <w:lang w:val="en-US"/>
              </w:rPr>
              <w:t>ë</w:t>
            </w:r>
            <w:r w:rsidR="00E057E4" w:rsidRPr="00E057E4">
              <w:rPr>
                <w:i/>
                <w:sz w:val="22"/>
                <w:szCs w:val="22"/>
                <w:lang w:val="en-US"/>
              </w:rPr>
              <w:t xml:space="preserve"> familje n</w:t>
            </w:r>
            <w:r w:rsidR="00774E87">
              <w:rPr>
                <w:i/>
                <w:sz w:val="22"/>
                <w:szCs w:val="22"/>
                <w:lang w:val="en-US"/>
              </w:rPr>
              <w:t>ë</w:t>
            </w:r>
            <w:r w:rsidR="00E057E4" w:rsidRPr="00E057E4">
              <w:rPr>
                <w:i/>
                <w:sz w:val="22"/>
                <w:szCs w:val="22"/>
                <w:lang w:val="en-US"/>
              </w:rPr>
              <w:t xml:space="preserve"> nivel bashkie, </w:t>
            </w:r>
            <w:r w:rsidR="00E057E4">
              <w:rPr>
                <w:i/>
                <w:sz w:val="22"/>
                <w:szCs w:val="22"/>
                <w:lang w:val="en-US"/>
              </w:rPr>
              <w:t>si dhe i punonj</w:t>
            </w:r>
            <w:r w:rsidR="00774E87">
              <w:rPr>
                <w:i/>
                <w:sz w:val="22"/>
                <w:szCs w:val="22"/>
                <w:lang w:val="en-US"/>
              </w:rPr>
              <w:t>ë</w:t>
            </w:r>
            <w:r w:rsidR="00E057E4">
              <w:rPr>
                <w:i/>
                <w:sz w:val="22"/>
                <w:szCs w:val="22"/>
                <w:lang w:val="en-US"/>
              </w:rPr>
              <w:t>seve dhe punonj</w:t>
            </w:r>
            <w:r w:rsidR="00774E87">
              <w:rPr>
                <w:i/>
                <w:sz w:val="22"/>
                <w:szCs w:val="22"/>
                <w:lang w:val="en-US"/>
              </w:rPr>
              <w:t>ë</w:t>
            </w:r>
            <w:r w:rsidR="00E057E4">
              <w:rPr>
                <w:i/>
                <w:sz w:val="22"/>
                <w:szCs w:val="22"/>
                <w:lang w:val="en-US"/>
              </w:rPr>
              <w:t>sve t</w:t>
            </w:r>
            <w:r w:rsidR="00774E87">
              <w:rPr>
                <w:i/>
                <w:sz w:val="22"/>
                <w:szCs w:val="22"/>
                <w:lang w:val="en-US"/>
              </w:rPr>
              <w:t>ë</w:t>
            </w:r>
            <w:r w:rsidR="00775CA9">
              <w:rPr>
                <w:i/>
                <w:sz w:val="22"/>
                <w:szCs w:val="22"/>
                <w:lang w:val="en-US"/>
              </w:rPr>
              <w:t xml:space="preserve"> NJMF-ve,</w:t>
            </w:r>
            <w:r w:rsidR="00E057E4">
              <w:rPr>
                <w:i/>
                <w:sz w:val="22"/>
                <w:szCs w:val="22"/>
                <w:lang w:val="en-US"/>
              </w:rPr>
              <w:t xml:space="preserve"> </w:t>
            </w:r>
            <w:r w:rsidR="00E057E4" w:rsidRPr="00E057E4">
              <w:rPr>
                <w:i/>
                <w:sz w:val="22"/>
                <w:szCs w:val="22"/>
                <w:lang w:val="en-US"/>
              </w:rPr>
              <w:t>p</w:t>
            </w:r>
            <w:r w:rsidR="00774E87">
              <w:rPr>
                <w:i/>
                <w:sz w:val="22"/>
                <w:szCs w:val="22"/>
                <w:lang w:val="en-US"/>
              </w:rPr>
              <w:t>ë</w:t>
            </w:r>
            <w:r w:rsidR="00E057E4" w:rsidRPr="00E057E4">
              <w:rPr>
                <w:i/>
                <w:sz w:val="22"/>
                <w:szCs w:val="22"/>
                <w:lang w:val="en-US"/>
              </w:rPr>
              <w:t>r t</w:t>
            </w:r>
            <w:r w:rsidR="00774E87">
              <w:rPr>
                <w:i/>
                <w:sz w:val="22"/>
                <w:szCs w:val="22"/>
                <w:lang w:val="en-US"/>
              </w:rPr>
              <w:t>ë</w:t>
            </w:r>
            <w:r w:rsidR="00E057E4" w:rsidRPr="00E057E4">
              <w:rPr>
                <w:i/>
                <w:sz w:val="22"/>
                <w:szCs w:val="22"/>
                <w:lang w:val="en-US"/>
              </w:rPr>
              <w:t xml:space="preserve"> trajtuar n</w:t>
            </w:r>
            <w:r w:rsidR="00774E87">
              <w:rPr>
                <w:i/>
                <w:sz w:val="22"/>
                <w:szCs w:val="22"/>
                <w:lang w:val="en-US"/>
              </w:rPr>
              <w:t>ë</w:t>
            </w:r>
            <w:r w:rsidR="00E057E4" w:rsidRPr="00E057E4">
              <w:rPr>
                <w:i/>
                <w:sz w:val="22"/>
                <w:szCs w:val="22"/>
                <w:lang w:val="en-US"/>
              </w:rPr>
              <w:t xml:space="preserve"> m</w:t>
            </w:r>
            <w:r w:rsidR="00774E87">
              <w:rPr>
                <w:i/>
                <w:sz w:val="22"/>
                <w:szCs w:val="22"/>
                <w:lang w:val="en-US"/>
              </w:rPr>
              <w:t>ë</w:t>
            </w:r>
            <w:r w:rsidR="00E057E4" w:rsidRPr="00E057E4">
              <w:rPr>
                <w:i/>
                <w:sz w:val="22"/>
                <w:szCs w:val="22"/>
                <w:lang w:val="en-US"/>
              </w:rPr>
              <w:t>nyr</w:t>
            </w:r>
            <w:r w:rsidR="00774E87">
              <w:rPr>
                <w:i/>
                <w:sz w:val="22"/>
                <w:szCs w:val="22"/>
                <w:lang w:val="en-US"/>
              </w:rPr>
              <w:t>ë</w:t>
            </w:r>
            <w:r w:rsidR="00E057E4" w:rsidRPr="00E057E4">
              <w:rPr>
                <w:i/>
                <w:sz w:val="22"/>
                <w:szCs w:val="22"/>
                <w:lang w:val="en-US"/>
              </w:rPr>
              <w:t>n e duhur rastet e personave LGBTI+ viktima/t</w:t>
            </w:r>
            <w:r w:rsidR="00774E87">
              <w:rPr>
                <w:i/>
                <w:sz w:val="22"/>
                <w:szCs w:val="22"/>
                <w:lang w:val="en-US"/>
              </w:rPr>
              <w:t>ë</w:t>
            </w:r>
            <w:r w:rsidR="00E057E4" w:rsidRPr="00E057E4">
              <w:rPr>
                <w:i/>
                <w:sz w:val="22"/>
                <w:szCs w:val="22"/>
                <w:lang w:val="en-US"/>
              </w:rPr>
              <w:t xml:space="preserve"> mbijetuar t</w:t>
            </w:r>
            <w:r w:rsidR="00774E87">
              <w:rPr>
                <w:i/>
                <w:sz w:val="22"/>
                <w:szCs w:val="22"/>
                <w:lang w:val="en-US"/>
              </w:rPr>
              <w:t>ë</w:t>
            </w:r>
            <w:r w:rsidR="00E057E4" w:rsidRPr="00E057E4">
              <w:rPr>
                <w:i/>
                <w:sz w:val="22"/>
                <w:szCs w:val="22"/>
                <w:lang w:val="en-US"/>
              </w:rPr>
              <w:t xml:space="preserve"> k</w:t>
            </w:r>
            <w:r w:rsidR="00774E87">
              <w:rPr>
                <w:i/>
                <w:sz w:val="22"/>
                <w:szCs w:val="22"/>
                <w:lang w:val="en-US"/>
              </w:rPr>
              <w:t>ë</w:t>
            </w:r>
            <w:r w:rsidR="00E057E4" w:rsidRPr="00E057E4">
              <w:rPr>
                <w:i/>
                <w:sz w:val="22"/>
                <w:szCs w:val="22"/>
                <w:lang w:val="en-US"/>
              </w:rPr>
              <w:t>saj forme dhune.</w:t>
            </w:r>
          </w:p>
        </w:tc>
        <w:tc>
          <w:tcPr>
            <w:tcW w:w="2067" w:type="dxa"/>
          </w:tcPr>
          <w:p w:rsidR="00271AE1" w:rsidRDefault="00E057E4" w:rsidP="00DC7F71">
            <w:pPr>
              <w:jc w:val="center"/>
              <w:rPr>
                <w:bCs/>
                <w:i/>
                <w:sz w:val="22"/>
                <w:szCs w:val="22"/>
                <w:lang w:val="en-US"/>
              </w:rPr>
            </w:pPr>
            <w:r>
              <w:rPr>
                <w:bCs/>
                <w:i/>
                <w:sz w:val="22"/>
                <w:szCs w:val="22"/>
                <w:lang w:val="en-US"/>
              </w:rPr>
              <w:t>61 MKR n</w:t>
            </w:r>
            <w:r w:rsidR="00774E87">
              <w:rPr>
                <w:bCs/>
                <w:i/>
                <w:sz w:val="22"/>
                <w:szCs w:val="22"/>
                <w:lang w:val="en-US"/>
              </w:rPr>
              <w:t>ë</w:t>
            </w:r>
            <w:r>
              <w:rPr>
                <w:bCs/>
                <w:i/>
                <w:sz w:val="22"/>
                <w:szCs w:val="22"/>
                <w:lang w:val="en-US"/>
              </w:rPr>
              <w:t xml:space="preserve"> nivel bashkie (nga 10 MKR n</w:t>
            </w:r>
            <w:r w:rsidR="00774E87">
              <w:rPr>
                <w:bCs/>
                <w:i/>
                <w:sz w:val="22"/>
                <w:szCs w:val="22"/>
                <w:lang w:val="en-US"/>
              </w:rPr>
              <w:t>ë</w:t>
            </w:r>
            <w:r>
              <w:rPr>
                <w:bCs/>
                <w:i/>
                <w:sz w:val="22"/>
                <w:szCs w:val="22"/>
                <w:lang w:val="en-US"/>
              </w:rPr>
              <w:t xml:space="preserve"> vit) m</w:t>
            </w:r>
            <w:r w:rsidR="00774E87">
              <w:rPr>
                <w:bCs/>
                <w:i/>
                <w:sz w:val="22"/>
                <w:szCs w:val="22"/>
                <w:lang w:val="en-US"/>
              </w:rPr>
              <w:t>ë</w:t>
            </w:r>
            <w:r>
              <w:rPr>
                <w:bCs/>
                <w:i/>
                <w:sz w:val="22"/>
                <w:szCs w:val="22"/>
                <w:lang w:val="en-US"/>
              </w:rPr>
              <w:t xml:space="preserve"> t</w:t>
            </w:r>
            <w:r w:rsidR="00774E87">
              <w:rPr>
                <w:bCs/>
                <w:i/>
                <w:sz w:val="22"/>
                <w:szCs w:val="22"/>
                <w:lang w:val="en-US"/>
              </w:rPr>
              <w:t>ë</w:t>
            </w:r>
            <w:r>
              <w:rPr>
                <w:bCs/>
                <w:i/>
                <w:sz w:val="22"/>
                <w:szCs w:val="22"/>
                <w:lang w:val="en-US"/>
              </w:rPr>
              <w:t xml:space="preserve"> gatsh</w:t>
            </w:r>
            <w:r w:rsidR="00774E87">
              <w:rPr>
                <w:bCs/>
                <w:i/>
                <w:sz w:val="22"/>
                <w:szCs w:val="22"/>
                <w:lang w:val="en-US"/>
              </w:rPr>
              <w:t>ë</w:t>
            </w:r>
            <w:r>
              <w:rPr>
                <w:bCs/>
                <w:i/>
                <w:sz w:val="22"/>
                <w:szCs w:val="22"/>
                <w:lang w:val="en-US"/>
              </w:rPr>
              <w:t>m p</w:t>
            </w:r>
            <w:r w:rsidR="00774E87">
              <w:rPr>
                <w:bCs/>
                <w:i/>
                <w:sz w:val="22"/>
                <w:szCs w:val="22"/>
                <w:lang w:val="en-US"/>
              </w:rPr>
              <w:t>ë</w:t>
            </w:r>
            <w:r>
              <w:rPr>
                <w:bCs/>
                <w:i/>
                <w:sz w:val="22"/>
                <w:szCs w:val="22"/>
                <w:lang w:val="en-US"/>
              </w:rPr>
              <w:t>r t</w:t>
            </w:r>
            <w:r w:rsidR="00774E87">
              <w:rPr>
                <w:bCs/>
                <w:i/>
                <w:sz w:val="22"/>
                <w:szCs w:val="22"/>
                <w:lang w:val="en-US"/>
              </w:rPr>
              <w:t>ë</w:t>
            </w:r>
            <w:r>
              <w:rPr>
                <w:bCs/>
                <w:i/>
                <w:sz w:val="22"/>
                <w:szCs w:val="22"/>
                <w:lang w:val="en-US"/>
              </w:rPr>
              <w:t xml:space="preserve"> trajtuar </w:t>
            </w:r>
            <w:r w:rsidR="00DC7F71">
              <w:rPr>
                <w:bCs/>
                <w:i/>
                <w:sz w:val="22"/>
                <w:szCs w:val="22"/>
                <w:lang w:val="en-US"/>
              </w:rPr>
              <w:t>n</w:t>
            </w:r>
            <w:r w:rsidR="00774E87">
              <w:rPr>
                <w:bCs/>
                <w:i/>
                <w:sz w:val="22"/>
                <w:szCs w:val="22"/>
                <w:lang w:val="en-US"/>
              </w:rPr>
              <w:t>ë</w:t>
            </w:r>
            <w:r>
              <w:rPr>
                <w:bCs/>
                <w:i/>
                <w:sz w:val="22"/>
                <w:szCs w:val="22"/>
                <w:lang w:val="en-US"/>
              </w:rPr>
              <w:t xml:space="preserve"> m</w:t>
            </w:r>
            <w:r w:rsidR="00774E87">
              <w:rPr>
                <w:bCs/>
                <w:i/>
                <w:sz w:val="22"/>
                <w:szCs w:val="22"/>
                <w:lang w:val="en-US"/>
              </w:rPr>
              <w:t>ë</w:t>
            </w:r>
            <w:r>
              <w:rPr>
                <w:bCs/>
                <w:i/>
                <w:sz w:val="22"/>
                <w:szCs w:val="22"/>
                <w:lang w:val="en-US"/>
              </w:rPr>
              <w:t>nyr</w:t>
            </w:r>
            <w:r w:rsidR="00774E87">
              <w:rPr>
                <w:bCs/>
                <w:i/>
                <w:sz w:val="22"/>
                <w:szCs w:val="22"/>
                <w:lang w:val="en-US"/>
              </w:rPr>
              <w:t>ë</w:t>
            </w:r>
            <w:r>
              <w:rPr>
                <w:bCs/>
                <w:i/>
                <w:sz w:val="22"/>
                <w:szCs w:val="22"/>
                <w:lang w:val="en-US"/>
              </w:rPr>
              <w:t xml:space="preserve"> profesionale rastet e personave LGBTI+ t</w:t>
            </w:r>
            <w:r w:rsidR="00774E87">
              <w:rPr>
                <w:bCs/>
                <w:i/>
                <w:sz w:val="22"/>
                <w:szCs w:val="22"/>
                <w:lang w:val="en-US"/>
              </w:rPr>
              <w:t>ë</w:t>
            </w:r>
            <w:r>
              <w:rPr>
                <w:bCs/>
                <w:i/>
                <w:sz w:val="22"/>
                <w:szCs w:val="22"/>
                <w:lang w:val="en-US"/>
              </w:rPr>
              <w:t xml:space="preserve"> dhunuar n</w:t>
            </w:r>
            <w:r w:rsidR="00774E87">
              <w:rPr>
                <w:bCs/>
                <w:i/>
                <w:sz w:val="22"/>
                <w:szCs w:val="22"/>
                <w:lang w:val="en-US"/>
              </w:rPr>
              <w:t>ë</w:t>
            </w:r>
            <w:r>
              <w:rPr>
                <w:bCs/>
                <w:i/>
                <w:sz w:val="22"/>
                <w:szCs w:val="22"/>
                <w:lang w:val="en-US"/>
              </w:rPr>
              <w:t xml:space="preserve"> familje</w:t>
            </w:r>
          </w:p>
        </w:tc>
        <w:tc>
          <w:tcPr>
            <w:tcW w:w="2067" w:type="dxa"/>
            <w:gridSpan w:val="2"/>
          </w:tcPr>
          <w:p w:rsidR="00271AE1" w:rsidRDefault="00E057E4" w:rsidP="00271AE1">
            <w:pPr>
              <w:jc w:val="center"/>
              <w:rPr>
                <w:b/>
                <w:i/>
                <w:iCs/>
                <w:sz w:val="22"/>
                <w:szCs w:val="22"/>
              </w:rPr>
            </w:pPr>
            <w:r>
              <w:rPr>
                <w:b/>
                <w:i/>
                <w:iCs/>
                <w:sz w:val="22"/>
                <w:szCs w:val="22"/>
              </w:rPr>
              <w:t>NJVV</w:t>
            </w:r>
          </w:p>
        </w:tc>
        <w:tc>
          <w:tcPr>
            <w:tcW w:w="2520" w:type="dxa"/>
            <w:gridSpan w:val="2"/>
          </w:tcPr>
          <w:p w:rsidR="00271AE1" w:rsidRDefault="00EC35B4" w:rsidP="008C1AE4">
            <w:pPr>
              <w:jc w:val="center"/>
              <w:rPr>
                <w:i/>
                <w:iCs/>
                <w:sz w:val="22"/>
                <w:szCs w:val="22"/>
              </w:rPr>
            </w:pPr>
            <w:r>
              <w:rPr>
                <w:i/>
                <w:iCs/>
                <w:sz w:val="22"/>
                <w:szCs w:val="22"/>
              </w:rPr>
              <w:t xml:space="preserve">MB/AMVV, </w:t>
            </w:r>
            <w:r w:rsidR="00E057E4">
              <w:rPr>
                <w:i/>
                <w:iCs/>
                <w:sz w:val="22"/>
                <w:szCs w:val="22"/>
              </w:rPr>
              <w:t>MSHMS, K</w:t>
            </w:r>
            <w:r w:rsidR="00E057E4" w:rsidRPr="00BD4B41">
              <w:rPr>
                <w:i/>
                <w:iCs/>
                <w:sz w:val="22"/>
                <w:szCs w:val="22"/>
              </w:rPr>
              <w:t>MD, OJF, Org. nd</w:t>
            </w:r>
            <w:r w:rsidR="00774E87">
              <w:rPr>
                <w:i/>
                <w:iCs/>
                <w:sz w:val="22"/>
                <w:szCs w:val="22"/>
              </w:rPr>
              <w:t>ë</w:t>
            </w:r>
            <w:r w:rsidR="00E057E4" w:rsidRPr="00BD4B41">
              <w:rPr>
                <w:i/>
                <w:iCs/>
                <w:sz w:val="22"/>
                <w:szCs w:val="22"/>
              </w:rPr>
              <w:t>rkomb</w:t>
            </w:r>
            <w:r w:rsidR="00774E87">
              <w:rPr>
                <w:i/>
                <w:iCs/>
                <w:sz w:val="22"/>
                <w:szCs w:val="22"/>
              </w:rPr>
              <w:t>ë</w:t>
            </w:r>
            <w:r w:rsidR="00E057E4" w:rsidRPr="00BD4B41">
              <w:rPr>
                <w:i/>
                <w:iCs/>
                <w:sz w:val="22"/>
                <w:szCs w:val="22"/>
              </w:rPr>
              <w:t>tare</w:t>
            </w:r>
          </w:p>
        </w:tc>
        <w:tc>
          <w:tcPr>
            <w:tcW w:w="1765" w:type="dxa"/>
          </w:tcPr>
          <w:p w:rsidR="00E057E4" w:rsidRPr="00BD4B41" w:rsidRDefault="00E057E4" w:rsidP="00E057E4">
            <w:pPr>
              <w:jc w:val="center"/>
              <w:rPr>
                <w:i/>
                <w:sz w:val="22"/>
                <w:szCs w:val="22"/>
              </w:rPr>
            </w:pPr>
            <w:r w:rsidRPr="00BD4B41">
              <w:rPr>
                <w:i/>
                <w:sz w:val="22"/>
                <w:szCs w:val="22"/>
              </w:rPr>
              <w:t>6-M-</w:t>
            </w:r>
            <w:r>
              <w:rPr>
                <w:i/>
                <w:sz w:val="22"/>
                <w:szCs w:val="22"/>
              </w:rPr>
              <w:t>I 2022</w:t>
            </w:r>
            <w:r w:rsidRPr="00BD4B41">
              <w:rPr>
                <w:i/>
                <w:sz w:val="22"/>
                <w:szCs w:val="22"/>
              </w:rPr>
              <w:t xml:space="preserve"> </w:t>
            </w:r>
          </w:p>
          <w:p w:rsidR="00E057E4" w:rsidRPr="00BD4B41" w:rsidRDefault="00E057E4" w:rsidP="00E057E4">
            <w:pPr>
              <w:jc w:val="center"/>
              <w:rPr>
                <w:i/>
                <w:sz w:val="22"/>
                <w:szCs w:val="22"/>
              </w:rPr>
            </w:pPr>
            <w:r w:rsidRPr="00BD4B41">
              <w:rPr>
                <w:i/>
                <w:sz w:val="22"/>
                <w:szCs w:val="22"/>
              </w:rPr>
              <w:t xml:space="preserve">– </w:t>
            </w:r>
          </w:p>
          <w:p w:rsidR="00271AE1" w:rsidRPr="00BD4B41" w:rsidRDefault="00E057E4" w:rsidP="008C1AE4">
            <w:pPr>
              <w:jc w:val="center"/>
              <w:rPr>
                <w:i/>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271AE1" w:rsidRPr="008C1AE4" w:rsidTr="00BA6EFB">
        <w:tc>
          <w:tcPr>
            <w:tcW w:w="7308" w:type="dxa"/>
            <w:gridSpan w:val="5"/>
          </w:tcPr>
          <w:p w:rsidR="00271AE1" w:rsidRPr="0005701D" w:rsidRDefault="00271AE1" w:rsidP="008C1AE4">
            <w:pPr>
              <w:jc w:val="both"/>
              <w:rPr>
                <w:i/>
                <w:iCs/>
                <w:sz w:val="22"/>
                <w:szCs w:val="22"/>
              </w:rPr>
            </w:pPr>
            <w:r>
              <w:rPr>
                <w:i/>
                <w:sz w:val="22"/>
                <w:szCs w:val="22"/>
                <w:lang w:val="en-US"/>
              </w:rPr>
              <w:t xml:space="preserve">I.1.2.d. </w:t>
            </w:r>
            <w:r>
              <w:rPr>
                <w:i/>
                <w:iCs/>
                <w:sz w:val="22"/>
                <w:szCs w:val="22"/>
              </w:rPr>
              <w:t>Mbledhja e t</w:t>
            </w:r>
            <w:r w:rsidR="00774E87">
              <w:rPr>
                <w:i/>
                <w:iCs/>
                <w:sz w:val="22"/>
                <w:szCs w:val="22"/>
              </w:rPr>
              <w:t>ë</w:t>
            </w:r>
            <w:r>
              <w:rPr>
                <w:i/>
                <w:iCs/>
                <w:sz w:val="22"/>
                <w:szCs w:val="22"/>
              </w:rPr>
              <w:t xml:space="preserve"> dh</w:t>
            </w:r>
            <w:r w:rsidR="00774E87">
              <w:rPr>
                <w:i/>
                <w:iCs/>
                <w:sz w:val="22"/>
                <w:szCs w:val="22"/>
              </w:rPr>
              <w:t>ë</w:t>
            </w:r>
            <w:r>
              <w:rPr>
                <w:i/>
                <w:iCs/>
                <w:sz w:val="22"/>
                <w:szCs w:val="22"/>
              </w:rPr>
              <w:t>nave dhe monitorimi i numrit t</w:t>
            </w:r>
            <w:r w:rsidR="00774E87">
              <w:rPr>
                <w:i/>
                <w:iCs/>
                <w:sz w:val="22"/>
                <w:szCs w:val="22"/>
              </w:rPr>
              <w:t>ë</w:t>
            </w:r>
            <w:r w:rsidRPr="00BD4B41">
              <w:rPr>
                <w:i/>
                <w:iCs/>
                <w:sz w:val="22"/>
                <w:szCs w:val="22"/>
              </w:rPr>
              <w:t xml:space="preserve"> ankesave, çështjeve të shqyrtuara kryesisht, si dhe vendimeve të dhëna nga KMD lidh</w:t>
            </w:r>
            <w:r>
              <w:rPr>
                <w:i/>
                <w:iCs/>
                <w:sz w:val="22"/>
                <w:szCs w:val="22"/>
              </w:rPr>
              <w:t>ur me aksesin e personave LGBTI+</w:t>
            </w:r>
            <w:r w:rsidRPr="00BD4B41">
              <w:rPr>
                <w:i/>
                <w:iCs/>
                <w:sz w:val="22"/>
                <w:szCs w:val="22"/>
              </w:rPr>
              <w:t xml:space="preserve"> në shërbimet sociale</w:t>
            </w:r>
            <w:r w:rsidRPr="00BD4B41">
              <w:rPr>
                <w:b/>
                <w:i/>
                <w:iCs/>
                <w:sz w:val="22"/>
                <w:szCs w:val="22"/>
              </w:rPr>
              <w:t>.</w:t>
            </w:r>
          </w:p>
        </w:tc>
        <w:tc>
          <w:tcPr>
            <w:tcW w:w="2067" w:type="dxa"/>
          </w:tcPr>
          <w:p w:rsidR="00271AE1" w:rsidRDefault="00271AE1" w:rsidP="00271AE1">
            <w:pPr>
              <w:jc w:val="center"/>
              <w:rPr>
                <w:bCs/>
                <w:i/>
                <w:sz w:val="22"/>
                <w:szCs w:val="22"/>
                <w:lang w:val="en-US"/>
              </w:rPr>
            </w:pPr>
            <w:r>
              <w:rPr>
                <w:bCs/>
                <w:i/>
                <w:sz w:val="22"/>
                <w:szCs w:val="22"/>
                <w:lang w:val="en-US"/>
              </w:rPr>
              <w:t>Raporti i monitorimit i p</w:t>
            </w:r>
            <w:r w:rsidR="00774E87">
              <w:rPr>
                <w:bCs/>
                <w:i/>
                <w:sz w:val="22"/>
                <w:szCs w:val="22"/>
                <w:lang w:val="en-US"/>
              </w:rPr>
              <w:t>ë</w:t>
            </w:r>
            <w:r>
              <w:rPr>
                <w:bCs/>
                <w:i/>
                <w:sz w:val="22"/>
                <w:szCs w:val="22"/>
                <w:lang w:val="en-US"/>
              </w:rPr>
              <w:t>rgatitur me t</w:t>
            </w:r>
            <w:r w:rsidR="00774E87">
              <w:rPr>
                <w:bCs/>
                <w:i/>
                <w:sz w:val="22"/>
                <w:szCs w:val="22"/>
                <w:lang w:val="en-US"/>
              </w:rPr>
              <w:t>ë</w:t>
            </w:r>
            <w:r>
              <w:rPr>
                <w:bCs/>
                <w:i/>
                <w:sz w:val="22"/>
                <w:szCs w:val="22"/>
                <w:lang w:val="en-US"/>
              </w:rPr>
              <w:t xml:space="preserve"> dh</w:t>
            </w:r>
            <w:r w:rsidR="00774E87">
              <w:rPr>
                <w:bCs/>
                <w:i/>
                <w:sz w:val="22"/>
                <w:szCs w:val="22"/>
                <w:lang w:val="en-US"/>
              </w:rPr>
              <w:t>ë</w:t>
            </w:r>
            <w:r>
              <w:rPr>
                <w:bCs/>
                <w:i/>
                <w:sz w:val="22"/>
                <w:szCs w:val="22"/>
                <w:lang w:val="en-US"/>
              </w:rPr>
              <w:t>nat p</w:t>
            </w:r>
            <w:r w:rsidR="00774E87">
              <w:rPr>
                <w:bCs/>
                <w:i/>
                <w:sz w:val="22"/>
                <w:szCs w:val="22"/>
                <w:lang w:val="en-US"/>
              </w:rPr>
              <w:t>ë</w:t>
            </w:r>
            <w:r>
              <w:rPr>
                <w:bCs/>
                <w:i/>
                <w:sz w:val="22"/>
                <w:szCs w:val="22"/>
                <w:lang w:val="en-US"/>
              </w:rPr>
              <w:t>rkat</w:t>
            </w:r>
            <w:r w:rsidR="00774E87">
              <w:rPr>
                <w:bCs/>
                <w:i/>
                <w:sz w:val="22"/>
                <w:szCs w:val="22"/>
                <w:lang w:val="en-US"/>
              </w:rPr>
              <w:t>ë</w:t>
            </w:r>
            <w:r>
              <w:rPr>
                <w:bCs/>
                <w:i/>
                <w:sz w:val="22"/>
                <w:szCs w:val="22"/>
                <w:lang w:val="en-US"/>
              </w:rPr>
              <w:t>se t</w:t>
            </w:r>
            <w:r w:rsidR="00774E87">
              <w:rPr>
                <w:bCs/>
                <w:i/>
                <w:sz w:val="22"/>
                <w:szCs w:val="22"/>
                <w:lang w:val="en-US"/>
              </w:rPr>
              <w:t>ë</w:t>
            </w:r>
            <w:r>
              <w:rPr>
                <w:bCs/>
                <w:i/>
                <w:sz w:val="22"/>
                <w:szCs w:val="22"/>
                <w:lang w:val="en-US"/>
              </w:rPr>
              <w:t xml:space="preserve"> disagreguara</w:t>
            </w:r>
          </w:p>
        </w:tc>
        <w:tc>
          <w:tcPr>
            <w:tcW w:w="2067" w:type="dxa"/>
            <w:gridSpan w:val="2"/>
          </w:tcPr>
          <w:p w:rsidR="00271AE1" w:rsidRDefault="00271AE1" w:rsidP="00271AE1">
            <w:pPr>
              <w:jc w:val="center"/>
              <w:rPr>
                <w:b/>
                <w:i/>
                <w:iCs/>
                <w:sz w:val="22"/>
                <w:szCs w:val="22"/>
              </w:rPr>
            </w:pPr>
            <w:r>
              <w:rPr>
                <w:b/>
                <w:i/>
                <w:iCs/>
                <w:sz w:val="22"/>
                <w:szCs w:val="22"/>
              </w:rPr>
              <w:t>KMD</w:t>
            </w:r>
          </w:p>
        </w:tc>
        <w:tc>
          <w:tcPr>
            <w:tcW w:w="2520" w:type="dxa"/>
            <w:gridSpan w:val="2"/>
          </w:tcPr>
          <w:p w:rsidR="00271AE1" w:rsidRDefault="00271AE1" w:rsidP="008C1AE4">
            <w:pPr>
              <w:jc w:val="center"/>
              <w:rPr>
                <w:i/>
                <w:iCs/>
                <w:sz w:val="22"/>
                <w:szCs w:val="22"/>
              </w:rPr>
            </w:pPr>
            <w:r>
              <w:rPr>
                <w:i/>
                <w:iCs/>
                <w:sz w:val="22"/>
                <w:szCs w:val="22"/>
              </w:rPr>
              <w:t xml:space="preserve">NJVV, </w:t>
            </w:r>
            <w:r w:rsidR="00DC7F71">
              <w:rPr>
                <w:i/>
                <w:iCs/>
                <w:sz w:val="22"/>
                <w:szCs w:val="22"/>
              </w:rPr>
              <w:t xml:space="preserve">INSTAT, </w:t>
            </w:r>
            <w:r>
              <w:rPr>
                <w:i/>
                <w:iCs/>
                <w:sz w:val="22"/>
                <w:szCs w:val="22"/>
              </w:rPr>
              <w:t>MSHMS, OJF, org. nd</w:t>
            </w:r>
            <w:r w:rsidR="00774E87">
              <w:rPr>
                <w:i/>
                <w:iCs/>
                <w:sz w:val="22"/>
                <w:szCs w:val="22"/>
              </w:rPr>
              <w:t>ë</w:t>
            </w:r>
            <w:r>
              <w:rPr>
                <w:i/>
                <w:iCs/>
                <w:sz w:val="22"/>
                <w:szCs w:val="22"/>
              </w:rPr>
              <w:t>rkomb</w:t>
            </w:r>
            <w:r w:rsidR="00774E87">
              <w:rPr>
                <w:i/>
                <w:iCs/>
                <w:sz w:val="22"/>
                <w:szCs w:val="22"/>
              </w:rPr>
              <w:t>ë</w:t>
            </w:r>
            <w:r>
              <w:rPr>
                <w:i/>
                <w:iCs/>
                <w:sz w:val="22"/>
                <w:szCs w:val="22"/>
              </w:rPr>
              <w:t>tare</w:t>
            </w:r>
          </w:p>
        </w:tc>
        <w:tc>
          <w:tcPr>
            <w:tcW w:w="1765" w:type="dxa"/>
          </w:tcPr>
          <w:p w:rsidR="00271AE1" w:rsidRPr="00BD4B41" w:rsidRDefault="00271AE1" w:rsidP="00271AE1">
            <w:pPr>
              <w:jc w:val="center"/>
              <w:rPr>
                <w:i/>
                <w:sz w:val="22"/>
                <w:szCs w:val="22"/>
              </w:rPr>
            </w:pPr>
            <w:r w:rsidRPr="00BD4B41">
              <w:rPr>
                <w:i/>
                <w:sz w:val="22"/>
                <w:szCs w:val="22"/>
              </w:rPr>
              <w:t>6-M-</w:t>
            </w:r>
            <w:r>
              <w:rPr>
                <w:i/>
                <w:sz w:val="22"/>
                <w:szCs w:val="22"/>
              </w:rPr>
              <w:t>I 2022</w:t>
            </w:r>
            <w:r w:rsidRPr="00BD4B41">
              <w:rPr>
                <w:i/>
                <w:sz w:val="22"/>
                <w:szCs w:val="22"/>
              </w:rPr>
              <w:t xml:space="preserve"> </w:t>
            </w:r>
          </w:p>
          <w:p w:rsidR="00271AE1" w:rsidRPr="00BD4B41" w:rsidRDefault="00271AE1" w:rsidP="00271AE1">
            <w:pPr>
              <w:jc w:val="center"/>
              <w:rPr>
                <w:i/>
                <w:sz w:val="22"/>
                <w:szCs w:val="22"/>
              </w:rPr>
            </w:pPr>
            <w:r w:rsidRPr="00BD4B41">
              <w:rPr>
                <w:i/>
                <w:sz w:val="22"/>
                <w:szCs w:val="22"/>
              </w:rPr>
              <w:t xml:space="preserve">– </w:t>
            </w:r>
          </w:p>
          <w:p w:rsidR="00271AE1" w:rsidRPr="00BD4B41" w:rsidRDefault="00271AE1" w:rsidP="008C1AE4">
            <w:pPr>
              <w:jc w:val="center"/>
              <w:rPr>
                <w:i/>
                <w:sz w:val="22"/>
                <w:szCs w:val="22"/>
              </w:rPr>
            </w:pPr>
            <w:r w:rsidRPr="00BD4B41">
              <w:rPr>
                <w:i/>
                <w:sz w:val="22"/>
                <w:szCs w:val="22"/>
              </w:rPr>
              <w:t>6-M-I 202</w:t>
            </w:r>
            <w:r>
              <w:rPr>
                <w:i/>
                <w:sz w:val="22"/>
                <w:szCs w:val="22"/>
              </w:rPr>
              <w:t>7</w:t>
            </w:r>
          </w:p>
        </w:tc>
      </w:tr>
      <w:tr w:rsidR="00271AE1" w:rsidRPr="00265B92" w:rsidTr="00BA6EFB">
        <w:tc>
          <w:tcPr>
            <w:tcW w:w="9375" w:type="dxa"/>
            <w:gridSpan w:val="6"/>
            <w:shd w:val="clear" w:color="auto" w:fill="EAF1DD" w:themeFill="accent3" w:themeFillTint="33"/>
          </w:tcPr>
          <w:p w:rsidR="00271AE1" w:rsidRPr="0005701D" w:rsidRDefault="00E057E4" w:rsidP="008C1AE4">
            <w:pPr>
              <w:jc w:val="both"/>
              <w:rPr>
                <w:b/>
                <w:bCs/>
                <w:sz w:val="22"/>
                <w:szCs w:val="22"/>
                <w:lang w:val="en-US"/>
              </w:rPr>
            </w:pPr>
            <w:r>
              <w:rPr>
                <w:b/>
                <w:sz w:val="22"/>
                <w:szCs w:val="22"/>
                <w:lang w:val="en-US"/>
              </w:rPr>
              <w:t>I.1.3. Mbulimi i nevojave p</w:t>
            </w:r>
            <w:r w:rsidR="00774E87">
              <w:rPr>
                <w:b/>
                <w:sz w:val="22"/>
                <w:szCs w:val="22"/>
                <w:lang w:val="en-US"/>
              </w:rPr>
              <w:t>ë</w:t>
            </w:r>
            <w:r>
              <w:rPr>
                <w:b/>
                <w:sz w:val="22"/>
                <w:szCs w:val="22"/>
                <w:lang w:val="en-US"/>
              </w:rPr>
              <w:t>r strehim afatgjat</w:t>
            </w:r>
            <w:r w:rsidR="00774E87">
              <w:rPr>
                <w:b/>
                <w:sz w:val="22"/>
                <w:szCs w:val="22"/>
                <w:lang w:val="en-US"/>
              </w:rPr>
              <w:t>ë</w:t>
            </w:r>
            <w:r>
              <w:rPr>
                <w:b/>
                <w:sz w:val="22"/>
                <w:szCs w:val="22"/>
                <w:lang w:val="en-US"/>
              </w:rPr>
              <w:t xml:space="preserve"> dhe t</w:t>
            </w:r>
            <w:r w:rsidR="00774E87">
              <w:rPr>
                <w:b/>
                <w:sz w:val="22"/>
                <w:szCs w:val="22"/>
                <w:lang w:val="en-US"/>
              </w:rPr>
              <w:t>ë</w:t>
            </w:r>
            <w:r>
              <w:rPr>
                <w:b/>
                <w:sz w:val="22"/>
                <w:szCs w:val="22"/>
                <w:lang w:val="en-US"/>
              </w:rPr>
              <w:t xml:space="preserve"> p</w:t>
            </w:r>
            <w:r w:rsidR="00774E87">
              <w:rPr>
                <w:b/>
                <w:sz w:val="22"/>
                <w:szCs w:val="22"/>
                <w:lang w:val="en-US"/>
              </w:rPr>
              <w:t>ë</w:t>
            </w:r>
            <w:r>
              <w:rPr>
                <w:b/>
                <w:sz w:val="22"/>
                <w:szCs w:val="22"/>
                <w:lang w:val="en-US"/>
              </w:rPr>
              <w:t>rshtatsh</w:t>
            </w:r>
            <w:r w:rsidR="00774E87">
              <w:rPr>
                <w:b/>
                <w:sz w:val="22"/>
                <w:szCs w:val="22"/>
                <w:lang w:val="en-US"/>
              </w:rPr>
              <w:t>ë</w:t>
            </w:r>
            <w:r>
              <w:rPr>
                <w:b/>
                <w:sz w:val="22"/>
                <w:szCs w:val="22"/>
                <w:lang w:val="en-US"/>
              </w:rPr>
              <w:t>m, n</w:t>
            </w:r>
            <w:r w:rsidR="00774E87">
              <w:rPr>
                <w:b/>
                <w:sz w:val="22"/>
                <w:szCs w:val="22"/>
                <w:lang w:val="en-US"/>
              </w:rPr>
              <w:t>ë</w:t>
            </w:r>
            <w:r>
              <w:rPr>
                <w:b/>
                <w:sz w:val="22"/>
                <w:szCs w:val="22"/>
                <w:lang w:val="en-US"/>
              </w:rPr>
              <w:t xml:space="preserve"> p</w:t>
            </w:r>
            <w:r w:rsidR="00774E87">
              <w:rPr>
                <w:b/>
                <w:sz w:val="22"/>
                <w:szCs w:val="22"/>
                <w:lang w:val="en-US"/>
              </w:rPr>
              <w:t>ë</w:t>
            </w:r>
            <w:r>
              <w:rPr>
                <w:b/>
                <w:sz w:val="22"/>
                <w:szCs w:val="22"/>
                <w:lang w:val="en-US"/>
              </w:rPr>
              <w:t>rputhje me legjislacionin n</w:t>
            </w:r>
            <w:r w:rsidR="00774E87">
              <w:rPr>
                <w:b/>
                <w:sz w:val="22"/>
                <w:szCs w:val="22"/>
                <w:lang w:val="en-US"/>
              </w:rPr>
              <w:t>ë</w:t>
            </w:r>
            <w:r>
              <w:rPr>
                <w:b/>
                <w:sz w:val="22"/>
                <w:szCs w:val="22"/>
                <w:lang w:val="en-US"/>
              </w:rPr>
              <w:t xml:space="preserve"> fuqi, p</w:t>
            </w:r>
            <w:r w:rsidR="00774E87">
              <w:rPr>
                <w:b/>
                <w:sz w:val="22"/>
                <w:szCs w:val="22"/>
                <w:lang w:val="en-US"/>
              </w:rPr>
              <w:t>ë</w:t>
            </w:r>
            <w:r>
              <w:rPr>
                <w:b/>
                <w:sz w:val="22"/>
                <w:szCs w:val="22"/>
                <w:lang w:val="en-US"/>
              </w:rPr>
              <w:t>r personat LGBTI+</w:t>
            </w:r>
          </w:p>
        </w:tc>
        <w:tc>
          <w:tcPr>
            <w:tcW w:w="2067" w:type="dxa"/>
            <w:gridSpan w:val="2"/>
            <w:shd w:val="clear" w:color="auto" w:fill="EAF1DD" w:themeFill="accent3" w:themeFillTint="33"/>
          </w:tcPr>
          <w:p w:rsidR="00271AE1" w:rsidRPr="0005701D" w:rsidRDefault="00DC7E7E" w:rsidP="008C1AE4">
            <w:pPr>
              <w:jc w:val="center"/>
              <w:rPr>
                <w:b/>
                <w:sz w:val="22"/>
                <w:szCs w:val="22"/>
                <w:lang w:val="en-US"/>
              </w:rPr>
            </w:pPr>
            <w:r>
              <w:rPr>
                <w:b/>
                <w:sz w:val="22"/>
                <w:szCs w:val="22"/>
              </w:rPr>
              <w:t>MSHMS</w:t>
            </w:r>
          </w:p>
        </w:tc>
        <w:tc>
          <w:tcPr>
            <w:tcW w:w="2520" w:type="dxa"/>
            <w:gridSpan w:val="2"/>
            <w:shd w:val="clear" w:color="auto" w:fill="EAF1DD" w:themeFill="accent3" w:themeFillTint="33"/>
          </w:tcPr>
          <w:p w:rsidR="00271AE1" w:rsidRPr="0005701D" w:rsidRDefault="006E5AA6" w:rsidP="008C1AE4">
            <w:pPr>
              <w:jc w:val="center"/>
              <w:rPr>
                <w:b/>
                <w:sz w:val="22"/>
                <w:szCs w:val="22"/>
                <w:lang w:val="en-US"/>
              </w:rPr>
            </w:pPr>
            <w:r w:rsidRPr="006E5AA6">
              <w:rPr>
                <w:b/>
                <w:sz w:val="22"/>
                <w:szCs w:val="22"/>
              </w:rPr>
              <w:t xml:space="preserve">MF, </w:t>
            </w:r>
            <w:r>
              <w:rPr>
                <w:b/>
                <w:i/>
                <w:iCs/>
                <w:sz w:val="22"/>
                <w:szCs w:val="22"/>
              </w:rPr>
              <w:t>MB/AMVV</w:t>
            </w:r>
            <w:r>
              <w:rPr>
                <w:b/>
                <w:sz w:val="22"/>
                <w:szCs w:val="22"/>
              </w:rPr>
              <w:t xml:space="preserve">, </w:t>
            </w:r>
            <w:r w:rsidRPr="006E5AA6">
              <w:rPr>
                <w:b/>
                <w:sz w:val="22"/>
                <w:szCs w:val="22"/>
              </w:rPr>
              <w:t xml:space="preserve">NJVV, OJF, Org. </w:t>
            </w:r>
            <w:r w:rsidRPr="006E5AA6">
              <w:rPr>
                <w:b/>
                <w:sz w:val="22"/>
                <w:szCs w:val="22"/>
              </w:rPr>
              <w:lastRenderedPageBreak/>
              <w:t>ndërkombëtare</w:t>
            </w:r>
          </w:p>
        </w:tc>
        <w:tc>
          <w:tcPr>
            <w:tcW w:w="1765" w:type="dxa"/>
            <w:shd w:val="clear" w:color="auto" w:fill="EAF1DD" w:themeFill="accent3" w:themeFillTint="33"/>
          </w:tcPr>
          <w:p w:rsidR="006E5AA6" w:rsidRPr="006E5AA6" w:rsidRDefault="006E5AA6" w:rsidP="006E5AA6">
            <w:pPr>
              <w:jc w:val="center"/>
              <w:rPr>
                <w:b/>
                <w:sz w:val="22"/>
                <w:szCs w:val="22"/>
              </w:rPr>
            </w:pPr>
            <w:r w:rsidRPr="006E5AA6">
              <w:rPr>
                <w:b/>
                <w:sz w:val="22"/>
                <w:szCs w:val="22"/>
              </w:rPr>
              <w:lastRenderedPageBreak/>
              <w:t xml:space="preserve">6-M-II 2021 </w:t>
            </w:r>
          </w:p>
          <w:p w:rsidR="006E5AA6" w:rsidRPr="006E5AA6" w:rsidRDefault="006E5AA6" w:rsidP="006E5AA6">
            <w:pPr>
              <w:jc w:val="center"/>
              <w:rPr>
                <w:b/>
                <w:sz w:val="22"/>
                <w:szCs w:val="22"/>
              </w:rPr>
            </w:pPr>
            <w:r w:rsidRPr="006E5AA6">
              <w:rPr>
                <w:b/>
                <w:sz w:val="22"/>
                <w:szCs w:val="22"/>
              </w:rPr>
              <w:t xml:space="preserve">– </w:t>
            </w:r>
          </w:p>
          <w:p w:rsidR="00271AE1" w:rsidRPr="0005701D" w:rsidRDefault="006E5AA6" w:rsidP="006E5AA6">
            <w:pPr>
              <w:jc w:val="center"/>
              <w:rPr>
                <w:b/>
                <w:sz w:val="22"/>
                <w:szCs w:val="22"/>
                <w:lang w:val="en-US"/>
              </w:rPr>
            </w:pPr>
            <w:r w:rsidRPr="006E5AA6">
              <w:rPr>
                <w:b/>
                <w:sz w:val="22"/>
                <w:szCs w:val="22"/>
              </w:rPr>
              <w:lastRenderedPageBreak/>
              <w:t>6-M-II 2027</w:t>
            </w:r>
          </w:p>
        </w:tc>
      </w:tr>
      <w:tr w:rsidR="00271AE1" w:rsidRPr="00265B92" w:rsidTr="00BA6EFB">
        <w:tc>
          <w:tcPr>
            <w:tcW w:w="7308" w:type="dxa"/>
            <w:gridSpan w:val="5"/>
          </w:tcPr>
          <w:p w:rsidR="00271AE1" w:rsidRPr="0005701D" w:rsidRDefault="00E057E4" w:rsidP="008C1AE4">
            <w:pPr>
              <w:jc w:val="both"/>
              <w:rPr>
                <w:i/>
                <w:sz w:val="22"/>
                <w:szCs w:val="22"/>
                <w:lang w:val="en-US"/>
              </w:rPr>
            </w:pPr>
            <w:r>
              <w:rPr>
                <w:i/>
                <w:sz w:val="22"/>
                <w:szCs w:val="22"/>
                <w:lang w:val="en-US"/>
              </w:rPr>
              <w:lastRenderedPageBreak/>
              <w:t xml:space="preserve">I.1.3.a. </w:t>
            </w:r>
            <w:r w:rsidRPr="00E057E4">
              <w:rPr>
                <w:i/>
                <w:sz w:val="22"/>
                <w:szCs w:val="22"/>
                <w:lang w:val="en-US"/>
              </w:rPr>
              <w:t>Mb</w:t>
            </w:r>
            <w:r w:rsidR="00774E87">
              <w:rPr>
                <w:i/>
                <w:sz w:val="22"/>
                <w:szCs w:val="22"/>
                <w:lang w:val="en-US"/>
              </w:rPr>
              <w:t>ë</w:t>
            </w:r>
            <w:r w:rsidRPr="00E057E4">
              <w:rPr>
                <w:i/>
                <w:sz w:val="22"/>
                <w:szCs w:val="22"/>
                <w:lang w:val="en-US"/>
              </w:rPr>
              <w:t>shtetja financiare e sh</w:t>
            </w:r>
            <w:r w:rsidR="00774E87">
              <w:rPr>
                <w:i/>
                <w:sz w:val="22"/>
                <w:szCs w:val="22"/>
                <w:lang w:val="en-US"/>
              </w:rPr>
              <w:t>ë</w:t>
            </w:r>
            <w:r w:rsidRPr="00E057E4">
              <w:rPr>
                <w:i/>
                <w:sz w:val="22"/>
                <w:szCs w:val="22"/>
                <w:lang w:val="en-US"/>
              </w:rPr>
              <w:t>rbimit t</w:t>
            </w:r>
            <w:r w:rsidR="00774E87">
              <w:rPr>
                <w:i/>
                <w:sz w:val="22"/>
                <w:szCs w:val="22"/>
                <w:lang w:val="en-US"/>
              </w:rPr>
              <w:t>ë</w:t>
            </w:r>
            <w:r w:rsidRPr="00E057E4">
              <w:rPr>
                <w:i/>
                <w:sz w:val="22"/>
                <w:szCs w:val="22"/>
                <w:lang w:val="en-US"/>
              </w:rPr>
              <w:t xml:space="preserve"> specializuar t</w:t>
            </w:r>
            <w:r w:rsidR="00774E87">
              <w:rPr>
                <w:i/>
                <w:sz w:val="22"/>
                <w:szCs w:val="22"/>
                <w:lang w:val="en-US"/>
              </w:rPr>
              <w:t>ë</w:t>
            </w:r>
            <w:r w:rsidRPr="00E057E4">
              <w:rPr>
                <w:i/>
                <w:sz w:val="22"/>
                <w:szCs w:val="22"/>
                <w:lang w:val="en-US"/>
              </w:rPr>
              <w:t xml:space="preserve"> strehimit afatgjat</w:t>
            </w:r>
            <w:r w:rsidR="00774E87">
              <w:rPr>
                <w:i/>
                <w:sz w:val="22"/>
                <w:szCs w:val="22"/>
                <w:lang w:val="en-US"/>
              </w:rPr>
              <w:t>ë</w:t>
            </w:r>
            <w:r w:rsidRPr="00E057E4">
              <w:rPr>
                <w:i/>
                <w:sz w:val="22"/>
                <w:szCs w:val="22"/>
                <w:lang w:val="en-US"/>
              </w:rPr>
              <w:t xml:space="preserve"> p</w:t>
            </w:r>
            <w:r w:rsidR="00774E87">
              <w:rPr>
                <w:i/>
                <w:sz w:val="22"/>
                <w:szCs w:val="22"/>
                <w:lang w:val="en-US"/>
              </w:rPr>
              <w:t>ë</w:t>
            </w:r>
            <w:r w:rsidRPr="00E057E4">
              <w:rPr>
                <w:i/>
                <w:sz w:val="22"/>
                <w:szCs w:val="22"/>
                <w:lang w:val="en-US"/>
              </w:rPr>
              <w:t xml:space="preserve">r personat LGBTI+ </w:t>
            </w:r>
            <w:r>
              <w:rPr>
                <w:i/>
                <w:sz w:val="22"/>
                <w:szCs w:val="22"/>
                <w:lang w:val="en-US"/>
              </w:rPr>
              <w:t>(Streha)</w:t>
            </w:r>
          </w:p>
        </w:tc>
        <w:tc>
          <w:tcPr>
            <w:tcW w:w="2067" w:type="dxa"/>
          </w:tcPr>
          <w:p w:rsidR="00271AE1" w:rsidRPr="0005701D" w:rsidRDefault="00E057E4" w:rsidP="008C1AE4">
            <w:pPr>
              <w:jc w:val="center"/>
              <w:rPr>
                <w:bCs/>
                <w:i/>
                <w:sz w:val="22"/>
                <w:szCs w:val="22"/>
                <w:lang w:val="en-US"/>
              </w:rPr>
            </w:pPr>
            <w:r>
              <w:rPr>
                <w:bCs/>
                <w:i/>
                <w:sz w:val="22"/>
                <w:szCs w:val="22"/>
                <w:lang w:val="en-US"/>
              </w:rPr>
              <w:t>Qendra “Streha” funksionale sipas standardeve t</w:t>
            </w:r>
            <w:r w:rsidR="00774E87">
              <w:rPr>
                <w:bCs/>
                <w:i/>
                <w:sz w:val="22"/>
                <w:szCs w:val="22"/>
                <w:lang w:val="en-US"/>
              </w:rPr>
              <w:t>ë</w:t>
            </w:r>
            <w:r>
              <w:rPr>
                <w:bCs/>
                <w:i/>
                <w:sz w:val="22"/>
                <w:szCs w:val="22"/>
                <w:lang w:val="en-US"/>
              </w:rPr>
              <w:t xml:space="preserve"> miratuara</w:t>
            </w:r>
          </w:p>
        </w:tc>
        <w:tc>
          <w:tcPr>
            <w:tcW w:w="2067" w:type="dxa"/>
            <w:gridSpan w:val="2"/>
          </w:tcPr>
          <w:p w:rsidR="00271AE1" w:rsidRPr="0005701D" w:rsidRDefault="00E057E4" w:rsidP="008C1AE4">
            <w:pPr>
              <w:jc w:val="center"/>
              <w:rPr>
                <w:b/>
                <w:bCs/>
                <w:i/>
                <w:sz w:val="22"/>
                <w:szCs w:val="22"/>
                <w:lang w:val="en-US"/>
              </w:rPr>
            </w:pPr>
            <w:r>
              <w:rPr>
                <w:b/>
                <w:i/>
                <w:iCs/>
                <w:sz w:val="22"/>
                <w:szCs w:val="22"/>
              </w:rPr>
              <w:t>MSHMS</w:t>
            </w:r>
          </w:p>
        </w:tc>
        <w:tc>
          <w:tcPr>
            <w:tcW w:w="2520" w:type="dxa"/>
            <w:gridSpan w:val="2"/>
          </w:tcPr>
          <w:p w:rsidR="00271AE1" w:rsidRPr="0005701D" w:rsidRDefault="00E057E4" w:rsidP="008C1AE4">
            <w:pPr>
              <w:jc w:val="center"/>
              <w:rPr>
                <w:i/>
                <w:sz w:val="22"/>
                <w:szCs w:val="22"/>
                <w:lang w:val="en-US"/>
              </w:rPr>
            </w:pPr>
            <w:r>
              <w:rPr>
                <w:b/>
                <w:i/>
                <w:iCs/>
                <w:sz w:val="22"/>
                <w:szCs w:val="22"/>
              </w:rPr>
              <w:t>MF, NJVV, OJF, Org. nd</w:t>
            </w:r>
            <w:r w:rsidR="00774E87">
              <w:rPr>
                <w:b/>
                <w:i/>
                <w:iCs/>
                <w:sz w:val="22"/>
                <w:szCs w:val="22"/>
              </w:rPr>
              <w:t>ë</w:t>
            </w:r>
            <w:r>
              <w:rPr>
                <w:b/>
                <w:i/>
                <w:iCs/>
                <w:sz w:val="22"/>
                <w:szCs w:val="22"/>
              </w:rPr>
              <w:t>rkomb</w:t>
            </w:r>
            <w:r w:rsidR="00774E87">
              <w:rPr>
                <w:b/>
                <w:i/>
                <w:iCs/>
                <w:sz w:val="22"/>
                <w:szCs w:val="22"/>
              </w:rPr>
              <w:t>ë</w:t>
            </w:r>
            <w:r>
              <w:rPr>
                <w:b/>
                <w:i/>
                <w:iCs/>
                <w:sz w:val="22"/>
                <w:szCs w:val="22"/>
              </w:rPr>
              <w:t>tare</w:t>
            </w:r>
          </w:p>
        </w:tc>
        <w:tc>
          <w:tcPr>
            <w:tcW w:w="1765" w:type="dxa"/>
          </w:tcPr>
          <w:p w:rsidR="00E057E4" w:rsidRPr="00BD4B41" w:rsidRDefault="00E057E4" w:rsidP="00E057E4">
            <w:pPr>
              <w:jc w:val="center"/>
              <w:rPr>
                <w:i/>
                <w:sz w:val="22"/>
                <w:szCs w:val="22"/>
              </w:rPr>
            </w:pPr>
            <w:r w:rsidRPr="00BD4B41">
              <w:rPr>
                <w:i/>
                <w:sz w:val="22"/>
                <w:szCs w:val="22"/>
              </w:rPr>
              <w:t>6-M-</w:t>
            </w:r>
            <w:r>
              <w:rPr>
                <w:i/>
                <w:sz w:val="22"/>
                <w:szCs w:val="22"/>
              </w:rPr>
              <w:t>II 2021</w:t>
            </w:r>
            <w:r w:rsidRPr="00BD4B41">
              <w:rPr>
                <w:i/>
                <w:sz w:val="22"/>
                <w:szCs w:val="22"/>
              </w:rPr>
              <w:t xml:space="preserve"> </w:t>
            </w:r>
          </w:p>
          <w:p w:rsidR="00E057E4" w:rsidRPr="00BD4B41" w:rsidRDefault="00E057E4" w:rsidP="00E057E4">
            <w:pPr>
              <w:jc w:val="center"/>
              <w:rPr>
                <w:i/>
                <w:sz w:val="22"/>
                <w:szCs w:val="22"/>
              </w:rPr>
            </w:pPr>
            <w:r w:rsidRPr="00BD4B41">
              <w:rPr>
                <w:i/>
                <w:sz w:val="22"/>
                <w:szCs w:val="22"/>
              </w:rPr>
              <w:t xml:space="preserve">– </w:t>
            </w:r>
          </w:p>
          <w:p w:rsidR="00271AE1" w:rsidRPr="0005701D" w:rsidRDefault="00E057E4" w:rsidP="008C1AE4">
            <w:pPr>
              <w:jc w:val="center"/>
              <w:rPr>
                <w:i/>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E057E4" w:rsidRPr="008C1AE4" w:rsidTr="00BA6EFB">
        <w:tc>
          <w:tcPr>
            <w:tcW w:w="7308" w:type="dxa"/>
            <w:gridSpan w:val="5"/>
          </w:tcPr>
          <w:p w:rsidR="00E057E4" w:rsidRDefault="00EC72CD" w:rsidP="00271AE1">
            <w:pPr>
              <w:jc w:val="both"/>
              <w:rPr>
                <w:i/>
                <w:sz w:val="22"/>
                <w:szCs w:val="22"/>
                <w:lang w:val="en-US"/>
              </w:rPr>
            </w:pPr>
            <w:r>
              <w:rPr>
                <w:i/>
                <w:sz w:val="22"/>
                <w:szCs w:val="22"/>
                <w:lang w:val="en-US"/>
              </w:rPr>
              <w:t>I.1.3.b. Shtrirja e sh</w:t>
            </w:r>
            <w:r w:rsidR="00774E87">
              <w:rPr>
                <w:i/>
                <w:sz w:val="22"/>
                <w:szCs w:val="22"/>
                <w:lang w:val="en-US"/>
              </w:rPr>
              <w:t>ë</w:t>
            </w:r>
            <w:r>
              <w:rPr>
                <w:i/>
                <w:sz w:val="22"/>
                <w:szCs w:val="22"/>
                <w:lang w:val="en-US"/>
              </w:rPr>
              <w:t>rbimit t</w:t>
            </w:r>
            <w:r w:rsidR="00774E87">
              <w:rPr>
                <w:i/>
                <w:sz w:val="22"/>
                <w:szCs w:val="22"/>
                <w:lang w:val="en-US"/>
              </w:rPr>
              <w:t>ë</w:t>
            </w:r>
            <w:r>
              <w:rPr>
                <w:i/>
                <w:sz w:val="22"/>
                <w:szCs w:val="22"/>
                <w:lang w:val="en-US"/>
              </w:rPr>
              <w:t xml:space="preserve"> specializuar t</w:t>
            </w:r>
            <w:r w:rsidR="00774E87">
              <w:rPr>
                <w:i/>
                <w:sz w:val="22"/>
                <w:szCs w:val="22"/>
                <w:lang w:val="en-US"/>
              </w:rPr>
              <w:t>ë</w:t>
            </w:r>
            <w:r>
              <w:rPr>
                <w:i/>
                <w:sz w:val="22"/>
                <w:szCs w:val="22"/>
                <w:lang w:val="en-US"/>
              </w:rPr>
              <w:t xml:space="preserve"> strehimit p</w:t>
            </w:r>
            <w:r w:rsidR="00774E87">
              <w:rPr>
                <w:i/>
                <w:sz w:val="22"/>
                <w:szCs w:val="22"/>
                <w:lang w:val="en-US"/>
              </w:rPr>
              <w:t>ë</w:t>
            </w:r>
            <w:r>
              <w:rPr>
                <w:i/>
                <w:sz w:val="22"/>
                <w:szCs w:val="22"/>
                <w:lang w:val="en-US"/>
              </w:rPr>
              <w:t>r personat LGBTI+ edhe n</w:t>
            </w:r>
            <w:r w:rsidR="00774E87">
              <w:rPr>
                <w:i/>
                <w:sz w:val="22"/>
                <w:szCs w:val="22"/>
                <w:lang w:val="en-US"/>
              </w:rPr>
              <w:t>ë</w:t>
            </w:r>
            <w:r>
              <w:rPr>
                <w:i/>
                <w:sz w:val="22"/>
                <w:szCs w:val="22"/>
                <w:lang w:val="en-US"/>
              </w:rPr>
              <w:t xml:space="preserve"> dy qarqe t</w:t>
            </w:r>
            <w:r w:rsidR="00774E87">
              <w:rPr>
                <w:i/>
                <w:sz w:val="22"/>
                <w:szCs w:val="22"/>
                <w:lang w:val="en-US"/>
              </w:rPr>
              <w:t>ë</w:t>
            </w:r>
            <w:r>
              <w:rPr>
                <w:i/>
                <w:sz w:val="22"/>
                <w:szCs w:val="22"/>
                <w:lang w:val="en-US"/>
              </w:rPr>
              <w:t xml:space="preserve"> tjera n</w:t>
            </w:r>
            <w:r w:rsidR="00774E87">
              <w:rPr>
                <w:i/>
                <w:sz w:val="22"/>
                <w:szCs w:val="22"/>
                <w:lang w:val="en-US"/>
              </w:rPr>
              <w:t>ë</w:t>
            </w:r>
            <w:r>
              <w:rPr>
                <w:i/>
                <w:sz w:val="22"/>
                <w:szCs w:val="22"/>
                <w:lang w:val="en-US"/>
              </w:rPr>
              <w:t xml:space="preserve"> vend</w:t>
            </w:r>
          </w:p>
        </w:tc>
        <w:tc>
          <w:tcPr>
            <w:tcW w:w="2067" w:type="dxa"/>
          </w:tcPr>
          <w:p w:rsidR="00E057E4" w:rsidRDefault="00EC72CD" w:rsidP="00271AE1">
            <w:pPr>
              <w:jc w:val="center"/>
              <w:rPr>
                <w:bCs/>
                <w:i/>
                <w:sz w:val="22"/>
                <w:szCs w:val="22"/>
                <w:lang w:val="en-US"/>
              </w:rPr>
            </w:pPr>
            <w:r>
              <w:rPr>
                <w:bCs/>
                <w:i/>
                <w:sz w:val="22"/>
                <w:szCs w:val="22"/>
                <w:lang w:val="en-US"/>
              </w:rPr>
              <w:t>Sh</w:t>
            </w:r>
            <w:r w:rsidR="00774E87">
              <w:rPr>
                <w:bCs/>
                <w:i/>
                <w:sz w:val="22"/>
                <w:szCs w:val="22"/>
                <w:lang w:val="en-US"/>
              </w:rPr>
              <w:t>ë</w:t>
            </w:r>
            <w:r w:rsidR="00775CA9">
              <w:rPr>
                <w:bCs/>
                <w:i/>
                <w:sz w:val="22"/>
                <w:szCs w:val="22"/>
                <w:lang w:val="en-US"/>
              </w:rPr>
              <w:t xml:space="preserve">rbimi i specializuar </w:t>
            </w:r>
            <w:r>
              <w:rPr>
                <w:bCs/>
                <w:i/>
                <w:sz w:val="22"/>
                <w:szCs w:val="22"/>
                <w:lang w:val="en-US"/>
              </w:rPr>
              <w:t>i strehimit, i zgjeruar dhe m</w:t>
            </w:r>
            <w:r w:rsidR="00774E87">
              <w:rPr>
                <w:bCs/>
                <w:i/>
                <w:sz w:val="22"/>
                <w:szCs w:val="22"/>
                <w:lang w:val="en-US"/>
              </w:rPr>
              <w:t>ë</w:t>
            </w:r>
            <w:r>
              <w:rPr>
                <w:bCs/>
                <w:i/>
                <w:sz w:val="22"/>
                <w:szCs w:val="22"/>
                <w:lang w:val="en-US"/>
              </w:rPr>
              <w:t xml:space="preserve"> i aksesuesh</w:t>
            </w:r>
            <w:r w:rsidR="00774E87">
              <w:rPr>
                <w:bCs/>
                <w:i/>
                <w:sz w:val="22"/>
                <w:szCs w:val="22"/>
                <w:lang w:val="en-US"/>
              </w:rPr>
              <w:t>ë</w:t>
            </w:r>
            <w:r>
              <w:rPr>
                <w:bCs/>
                <w:i/>
                <w:sz w:val="22"/>
                <w:szCs w:val="22"/>
                <w:lang w:val="en-US"/>
              </w:rPr>
              <w:t>m nga personat LGBTI+</w:t>
            </w:r>
          </w:p>
        </w:tc>
        <w:tc>
          <w:tcPr>
            <w:tcW w:w="2067" w:type="dxa"/>
            <w:gridSpan w:val="2"/>
          </w:tcPr>
          <w:p w:rsidR="00E057E4" w:rsidRDefault="00EC72CD" w:rsidP="00271AE1">
            <w:pPr>
              <w:jc w:val="center"/>
              <w:rPr>
                <w:b/>
                <w:i/>
                <w:iCs/>
                <w:sz w:val="22"/>
                <w:szCs w:val="22"/>
              </w:rPr>
            </w:pPr>
            <w:r>
              <w:rPr>
                <w:b/>
                <w:i/>
                <w:iCs/>
                <w:sz w:val="22"/>
                <w:szCs w:val="22"/>
              </w:rPr>
              <w:t>MSHMS</w:t>
            </w:r>
          </w:p>
        </w:tc>
        <w:tc>
          <w:tcPr>
            <w:tcW w:w="2520" w:type="dxa"/>
            <w:gridSpan w:val="2"/>
          </w:tcPr>
          <w:p w:rsidR="00E057E4" w:rsidRDefault="00EC72CD" w:rsidP="00271AE1">
            <w:pPr>
              <w:jc w:val="center"/>
              <w:rPr>
                <w:b/>
                <w:i/>
                <w:iCs/>
                <w:sz w:val="22"/>
                <w:szCs w:val="22"/>
              </w:rPr>
            </w:pPr>
            <w:r>
              <w:rPr>
                <w:b/>
                <w:i/>
                <w:iCs/>
                <w:sz w:val="22"/>
                <w:szCs w:val="22"/>
              </w:rPr>
              <w:t>MF, NJVV, OJF, Org. nd</w:t>
            </w:r>
            <w:r w:rsidR="00774E87">
              <w:rPr>
                <w:b/>
                <w:i/>
                <w:iCs/>
                <w:sz w:val="22"/>
                <w:szCs w:val="22"/>
              </w:rPr>
              <w:t>ë</w:t>
            </w:r>
            <w:r>
              <w:rPr>
                <w:b/>
                <w:i/>
                <w:iCs/>
                <w:sz w:val="22"/>
                <w:szCs w:val="22"/>
              </w:rPr>
              <w:t>rkomb</w:t>
            </w:r>
            <w:r w:rsidR="00774E87">
              <w:rPr>
                <w:b/>
                <w:i/>
                <w:iCs/>
                <w:sz w:val="22"/>
                <w:szCs w:val="22"/>
              </w:rPr>
              <w:t>ë</w:t>
            </w:r>
            <w:r>
              <w:rPr>
                <w:b/>
                <w:i/>
                <w:iCs/>
                <w:sz w:val="22"/>
                <w:szCs w:val="22"/>
              </w:rPr>
              <w:t>tare</w:t>
            </w:r>
          </w:p>
        </w:tc>
        <w:tc>
          <w:tcPr>
            <w:tcW w:w="1765" w:type="dxa"/>
          </w:tcPr>
          <w:p w:rsidR="00EC72CD" w:rsidRPr="00BD4B41" w:rsidRDefault="00EC72CD" w:rsidP="00EC72CD">
            <w:pPr>
              <w:jc w:val="center"/>
              <w:rPr>
                <w:i/>
                <w:sz w:val="22"/>
                <w:szCs w:val="22"/>
              </w:rPr>
            </w:pPr>
            <w:r w:rsidRPr="00BD4B41">
              <w:rPr>
                <w:i/>
                <w:sz w:val="22"/>
                <w:szCs w:val="22"/>
              </w:rPr>
              <w:t>6-M-</w:t>
            </w:r>
            <w:r>
              <w:rPr>
                <w:i/>
                <w:sz w:val="22"/>
                <w:szCs w:val="22"/>
              </w:rPr>
              <w:t>I 2023</w:t>
            </w:r>
            <w:r w:rsidRPr="00BD4B41">
              <w:rPr>
                <w:i/>
                <w:sz w:val="22"/>
                <w:szCs w:val="22"/>
              </w:rPr>
              <w:t xml:space="preserve"> </w:t>
            </w:r>
          </w:p>
          <w:p w:rsidR="00EC72CD" w:rsidRPr="00BD4B41" w:rsidRDefault="00EC72CD" w:rsidP="00EC72CD">
            <w:pPr>
              <w:jc w:val="center"/>
              <w:rPr>
                <w:i/>
                <w:sz w:val="22"/>
                <w:szCs w:val="22"/>
              </w:rPr>
            </w:pPr>
            <w:r w:rsidRPr="00BD4B41">
              <w:rPr>
                <w:i/>
                <w:sz w:val="22"/>
                <w:szCs w:val="22"/>
              </w:rPr>
              <w:t xml:space="preserve">– </w:t>
            </w:r>
          </w:p>
          <w:p w:rsidR="00E057E4" w:rsidRPr="00BD4B41" w:rsidRDefault="00EC72CD" w:rsidP="00EC72CD">
            <w:pPr>
              <w:jc w:val="center"/>
              <w:rPr>
                <w:i/>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E057E4" w:rsidRPr="008C1AE4" w:rsidTr="00BA6EFB">
        <w:tc>
          <w:tcPr>
            <w:tcW w:w="7308" w:type="dxa"/>
            <w:gridSpan w:val="5"/>
          </w:tcPr>
          <w:p w:rsidR="00E057E4" w:rsidRDefault="00EC72CD" w:rsidP="00271AE1">
            <w:pPr>
              <w:jc w:val="both"/>
              <w:rPr>
                <w:i/>
                <w:sz w:val="22"/>
                <w:szCs w:val="22"/>
                <w:lang w:val="en-US"/>
              </w:rPr>
            </w:pPr>
            <w:r>
              <w:rPr>
                <w:i/>
                <w:sz w:val="22"/>
                <w:szCs w:val="22"/>
                <w:lang w:val="en-US"/>
              </w:rPr>
              <w:t xml:space="preserve">I.1.3.c. </w:t>
            </w:r>
            <w:r w:rsidRPr="00EC72CD">
              <w:rPr>
                <w:i/>
                <w:sz w:val="22"/>
                <w:szCs w:val="22"/>
                <w:lang w:val="en-US"/>
              </w:rPr>
              <w:t>P</w:t>
            </w:r>
            <w:r w:rsidR="00774E87">
              <w:rPr>
                <w:i/>
                <w:sz w:val="22"/>
                <w:szCs w:val="22"/>
                <w:lang w:val="en-US"/>
              </w:rPr>
              <w:t>ë</w:t>
            </w:r>
            <w:r w:rsidRPr="00EC72CD">
              <w:rPr>
                <w:i/>
                <w:sz w:val="22"/>
                <w:szCs w:val="22"/>
                <w:lang w:val="en-US"/>
              </w:rPr>
              <w:t>rmir</w:t>
            </w:r>
            <w:r w:rsidR="00774E87">
              <w:rPr>
                <w:i/>
                <w:sz w:val="22"/>
                <w:szCs w:val="22"/>
                <w:lang w:val="en-US"/>
              </w:rPr>
              <w:t>ë</w:t>
            </w:r>
            <w:r w:rsidRPr="00EC72CD">
              <w:rPr>
                <w:i/>
                <w:sz w:val="22"/>
                <w:szCs w:val="22"/>
                <w:lang w:val="en-US"/>
              </w:rPr>
              <w:t>simi i aksesit t</w:t>
            </w:r>
            <w:r w:rsidR="00774E87">
              <w:rPr>
                <w:i/>
                <w:sz w:val="22"/>
                <w:szCs w:val="22"/>
                <w:lang w:val="en-US"/>
              </w:rPr>
              <w:t>ë</w:t>
            </w:r>
            <w:r w:rsidRPr="00EC72CD">
              <w:rPr>
                <w:i/>
                <w:sz w:val="22"/>
                <w:szCs w:val="22"/>
                <w:lang w:val="en-US"/>
              </w:rPr>
              <w:t xml:space="preserve"> personave LGBTI+ n</w:t>
            </w:r>
            <w:r w:rsidR="00774E87">
              <w:rPr>
                <w:i/>
                <w:sz w:val="22"/>
                <w:szCs w:val="22"/>
                <w:lang w:val="en-US"/>
              </w:rPr>
              <w:t>ë</w:t>
            </w:r>
            <w:r w:rsidRPr="00EC72CD">
              <w:rPr>
                <w:i/>
                <w:sz w:val="22"/>
                <w:szCs w:val="22"/>
                <w:lang w:val="en-US"/>
              </w:rPr>
              <w:t xml:space="preserve"> nevoj</w:t>
            </w:r>
            <w:r w:rsidR="00774E87">
              <w:rPr>
                <w:i/>
                <w:sz w:val="22"/>
                <w:szCs w:val="22"/>
                <w:lang w:val="en-US"/>
              </w:rPr>
              <w:t>ë</w:t>
            </w:r>
            <w:r w:rsidRPr="00EC72CD">
              <w:rPr>
                <w:i/>
                <w:sz w:val="22"/>
                <w:szCs w:val="22"/>
                <w:lang w:val="en-US"/>
              </w:rPr>
              <w:t xml:space="preserve"> p</w:t>
            </w:r>
            <w:r w:rsidR="00774E87">
              <w:rPr>
                <w:i/>
                <w:sz w:val="22"/>
                <w:szCs w:val="22"/>
                <w:lang w:val="en-US"/>
              </w:rPr>
              <w:t>ë</w:t>
            </w:r>
            <w:r w:rsidRPr="00EC72CD">
              <w:rPr>
                <w:i/>
                <w:sz w:val="22"/>
                <w:szCs w:val="22"/>
                <w:lang w:val="en-US"/>
              </w:rPr>
              <w:t>r strehim, n</w:t>
            </w:r>
            <w:r w:rsidR="00774E87">
              <w:rPr>
                <w:i/>
                <w:sz w:val="22"/>
                <w:szCs w:val="22"/>
                <w:lang w:val="en-US"/>
              </w:rPr>
              <w:t>ë</w:t>
            </w:r>
            <w:r w:rsidRPr="00EC72CD">
              <w:rPr>
                <w:i/>
                <w:sz w:val="22"/>
                <w:szCs w:val="22"/>
                <w:lang w:val="en-US"/>
              </w:rPr>
              <w:t>p</w:t>
            </w:r>
            <w:r w:rsidR="00774E87">
              <w:rPr>
                <w:i/>
                <w:sz w:val="22"/>
                <w:szCs w:val="22"/>
                <w:lang w:val="en-US"/>
              </w:rPr>
              <w:t>ë</w:t>
            </w:r>
            <w:r w:rsidRPr="00EC72CD">
              <w:rPr>
                <w:i/>
                <w:sz w:val="22"/>
                <w:szCs w:val="22"/>
                <w:lang w:val="en-US"/>
              </w:rPr>
              <w:t>rmjet mb</w:t>
            </w:r>
            <w:r w:rsidR="00774E87">
              <w:rPr>
                <w:i/>
                <w:sz w:val="22"/>
                <w:szCs w:val="22"/>
                <w:lang w:val="en-US"/>
              </w:rPr>
              <w:t>ë</w:t>
            </w:r>
            <w:r w:rsidRPr="00EC72CD">
              <w:rPr>
                <w:i/>
                <w:sz w:val="22"/>
                <w:szCs w:val="22"/>
                <w:lang w:val="en-US"/>
              </w:rPr>
              <w:t>shtetjes me banesa sociale dhe bonus qeraje, n</w:t>
            </w:r>
            <w:r w:rsidR="00774E87">
              <w:rPr>
                <w:i/>
                <w:sz w:val="22"/>
                <w:szCs w:val="22"/>
                <w:lang w:val="en-US"/>
              </w:rPr>
              <w:t>ë</w:t>
            </w:r>
            <w:r w:rsidRPr="00EC72CD">
              <w:rPr>
                <w:i/>
                <w:sz w:val="22"/>
                <w:szCs w:val="22"/>
                <w:lang w:val="en-US"/>
              </w:rPr>
              <w:t xml:space="preserve"> p</w:t>
            </w:r>
            <w:r w:rsidR="00774E87">
              <w:rPr>
                <w:i/>
                <w:sz w:val="22"/>
                <w:szCs w:val="22"/>
                <w:lang w:val="en-US"/>
              </w:rPr>
              <w:t>ë</w:t>
            </w:r>
            <w:r w:rsidRPr="00EC72CD">
              <w:rPr>
                <w:i/>
                <w:sz w:val="22"/>
                <w:szCs w:val="22"/>
                <w:lang w:val="en-US"/>
              </w:rPr>
              <w:t>rputhje me kriteret ligjore t</w:t>
            </w:r>
            <w:r w:rsidR="00774E87">
              <w:rPr>
                <w:i/>
                <w:sz w:val="22"/>
                <w:szCs w:val="22"/>
                <w:lang w:val="en-US"/>
              </w:rPr>
              <w:t>ë</w:t>
            </w:r>
            <w:r w:rsidRPr="00EC72CD">
              <w:rPr>
                <w:i/>
                <w:sz w:val="22"/>
                <w:szCs w:val="22"/>
                <w:lang w:val="en-US"/>
              </w:rPr>
              <w:t xml:space="preserve"> p</w:t>
            </w:r>
            <w:r w:rsidR="00774E87">
              <w:rPr>
                <w:i/>
                <w:sz w:val="22"/>
                <w:szCs w:val="22"/>
                <w:lang w:val="en-US"/>
              </w:rPr>
              <w:t>ë</w:t>
            </w:r>
            <w:r w:rsidRPr="00EC72CD">
              <w:rPr>
                <w:i/>
                <w:sz w:val="22"/>
                <w:szCs w:val="22"/>
                <w:lang w:val="en-US"/>
              </w:rPr>
              <w:t>rfitimit t</w:t>
            </w:r>
            <w:r w:rsidR="00774E87">
              <w:rPr>
                <w:i/>
                <w:sz w:val="22"/>
                <w:szCs w:val="22"/>
                <w:lang w:val="en-US"/>
              </w:rPr>
              <w:t>ë</w:t>
            </w:r>
            <w:r w:rsidRPr="00EC72CD">
              <w:rPr>
                <w:i/>
                <w:sz w:val="22"/>
                <w:szCs w:val="22"/>
                <w:lang w:val="en-US"/>
              </w:rPr>
              <w:t xml:space="preserve"> k</w:t>
            </w:r>
            <w:r w:rsidR="00774E87">
              <w:rPr>
                <w:i/>
                <w:sz w:val="22"/>
                <w:szCs w:val="22"/>
                <w:lang w:val="en-US"/>
              </w:rPr>
              <w:t>ë</w:t>
            </w:r>
            <w:r w:rsidRPr="00EC72CD">
              <w:rPr>
                <w:i/>
                <w:sz w:val="22"/>
                <w:szCs w:val="22"/>
                <w:lang w:val="en-US"/>
              </w:rPr>
              <w:t>tij sh</w:t>
            </w:r>
            <w:r w:rsidR="00774E87">
              <w:rPr>
                <w:i/>
                <w:sz w:val="22"/>
                <w:szCs w:val="22"/>
                <w:lang w:val="en-US"/>
              </w:rPr>
              <w:t>ë</w:t>
            </w:r>
            <w:r w:rsidRPr="00EC72CD">
              <w:rPr>
                <w:i/>
                <w:sz w:val="22"/>
                <w:szCs w:val="22"/>
                <w:lang w:val="en-US"/>
              </w:rPr>
              <w:t>rbimi.</w:t>
            </w:r>
          </w:p>
        </w:tc>
        <w:tc>
          <w:tcPr>
            <w:tcW w:w="2067" w:type="dxa"/>
          </w:tcPr>
          <w:p w:rsidR="00E057E4" w:rsidRDefault="00EC72CD" w:rsidP="008C1AE4">
            <w:pPr>
              <w:jc w:val="center"/>
              <w:rPr>
                <w:bCs/>
                <w:i/>
                <w:sz w:val="22"/>
                <w:szCs w:val="22"/>
                <w:lang w:val="en-US"/>
              </w:rPr>
            </w:pPr>
            <w:r>
              <w:rPr>
                <w:bCs/>
                <w:i/>
                <w:sz w:val="22"/>
                <w:szCs w:val="22"/>
                <w:lang w:val="en-US"/>
              </w:rPr>
              <w:t>Numri n</w:t>
            </w:r>
            <w:r w:rsidR="00774E87">
              <w:rPr>
                <w:bCs/>
                <w:i/>
                <w:sz w:val="22"/>
                <w:szCs w:val="22"/>
                <w:lang w:val="en-US"/>
              </w:rPr>
              <w:t>ë</w:t>
            </w:r>
            <w:r>
              <w:rPr>
                <w:bCs/>
                <w:i/>
                <w:sz w:val="22"/>
                <w:szCs w:val="22"/>
                <w:lang w:val="en-US"/>
              </w:rPr>
              <w:t xml:space="preserve"> rritje i personave LGBTI+ q</w:t>
            </w:r>
            <w:r w:rsidR="00774E87">
              <w:rPr>
                <w:bCs/>
                <w:i/>
                <w:sz w:val="22"/>
                <w:szCs w:val="22"/>
                <w:lang w:val="en-US"/>
              </w:rPr>
              <w:t>ë</w:t>
            </w:r>
            <w:r>
              <w:rPr>
                <w:bCs/>
                <w:i/>
                <w:sz w:val="22"/>
                <w:szCs w:val="22"/>
                <w:lang w:val="en-US"/>
              </w:rPr>
              <w:t xml:space="preserve"> p</w:t>
            </w:r>
            <w:r w:rsidR="00774E87">
              <w:rPr>
                <w:bCs/>
                <w:i/>
                <w:sz w:val="22"/>
                <w:szCs w:val="22"/>
                <w:lang w:val="en-US"/>
              </w:rPr>
              <w:t>ë</w:t>
            </w:r>
            <w:r>
              <w:rPr>
                <w:bCs/>
                <w:i/>
                <w:sz w:val="22"/>
                <w:szCs w:val="22"/>
                <w:lang w:val="en-US"/>
              </w:rPr>
              <w:t>rfitojn</w:t>
            </w:r>
            <w:r w:rsidR="00774E87">
              <w:rPr>
                <w:bCs/>
                <w:i/>
                <w:sz w:val="22"/>
                <w:szCs w:val="22"/>
                <w:lang w:val="en-US"/>
              </w:rPr>
              <w:t>ë</w:t>
            </w:r>
            <w:r>
              <w:rPr>
                <w:bCs/>
                <w:i/>
                <w:sz w:val="22"/>
                <w:szCs w:val="22"/>
                <w:lang w:val="en-US"/>
              </w:rPr>
              <w:t xml:space="preserve"> sh</w:t>
            </w:r>
            <w:r w:rsidR="00774E87">
              <w:rPr>
                <w:bCs/>
                <w:i/>
                <w:sz w:val="22"/>
                <w:szCs w:val="22"/>
                <w:lang w:val="en-US"/>
              </w:rPr>
              <w:t>ë</w:t>
            </w:r>
            <w:r>
              <w:rPr>
                <w:bCs/>
                <w:i/>
                <w:sz w:val="22"/>
                <w:szCs w:val="22"/>
                <w:lang w:val="en-US"/>
              </w:rPr>
              <w:t>rbime t</w:t>
            </w:r>
            <w:r w:rsidR="00774E87">
              <w:rPr>
                <w:bCs/>
                <w:i/>
                <w:sz w:val="22"/>
                <w:szCs w:val="22"/>
                <w:lang w:val="en-US"/>
              </w:rPr>
              <w:t>ë</w:t>
            </w:r>
            <w:r>
              <w:rPr>
                <w:bCs/>
                <w:i/>
                <w:sz w:val="22"/>
                <w:szCs w:val="22"/>
                <w:lang w:val="en-US"/>
              </w:rPr>
              <w:t xml:space="preserve"> strehimit social</w:t>
            </w:r>
          </w:p>
        </w:tc>
        <w:tc>
          <w:tcPr>
            <w:tcW w:w="2067" w:type="dxa"/>
            <w:gridSpan w:val="2"/>
          </w:tcPr>
          <w:p w:rsidR="00E057E4" w:rsidRDefault="006E5AA6" w:rsidP="00271AE1">
            <w:pPr>
              <w:jc w:val="center"/>
              <w:rPr>
                <w:b/>
                <w:i/>
                <w:iCs/>
                <w:sz w:val="22"/>
                <w:szCs w:val="22"/>
              </w:rPr>
            </w:pPr>
            <w:r>
              <w:rPr>
                <w:b/>
                <w:i/>
                <w:iCs/>
                <w:sz w:val="22"/>
                <w:szCs w:val="22"/>
              </w:rPr>
              <w:t>NJVV</w:t>
            </w:r>
          </w:p>
        </w:tc>
        <w:tc>
          <w:tcPr>
            <w:tcW w:w="2520" w:type="dxa"/>
            <w:gridSpan w:val="2"/>
          </w:tcPr>
          <w:p w:rsidR="00E057E4" w:rsidRDefault="006E5AA6" w:rsidP="008C1AE4">
            <w:pPr>
              <w:jc w:val="center"/>
              <w:rPr>
                <w:b/>
                <w:i/>
                <w:iCs/>
                <w:sz w:val="22"/>
                <w:szCs w:val="22"/>
              </w:rPr>
            </w:pPr>
            <w:r>
              <w:rPr>
                <w:b/>
                <w:i/>
                <w:iCs/>
                <w:sz w:val="22"/>
                <w:szCs w:val="22"/>
              </w:rPr>
              <w:t xml:space="preserve">MB/AMVV, </w:t>
            </w:r>
            <w:r w:rsidR="00EC72CD">
              <w:rPr>
                <w:b/>
                <w:i/>
                <w:iCs/>
                <w:sz w:val="22"/>
                <w:szCs w:val="22"/>
              </w:rPr>
              <w:t>MF, MSHMS, OJF, Org. nd</w:t>
            </w:r>
            <w:r w:rsidR="00774E87">
              <w:rPr>
                <w:b/>
                <w:i/>
                <w:iCs/>
                <w:sz w:val="22"/>
                <w:szCs w:val="22"/>
              </w:rPr>
              <w:t>ë</w:t>
            </w:r>
            <w:r w:rsidR="00EC72CD">
              <w:rPr>
                <w:b/>
                <w:i/>
                <w:iCs/>
                <w:sz w:val="22"/>
                <w:szCs w:val="22"/>
              </w:rPr>
              <w:t>rkomb</w:t>
            </w:r>
            <w:r w:rsidR="00774E87">
              <w:rPr>
                <w:b/>
                <w:i/>
                <w:iCs/>
                <w:sz w:val="22"/>
                <w:szCs w:val="22"/>
              </w:rPr>
              <w:t>ë</w:t>
            </w:r>
            <w:r w:rsidR="00EC72CD">
              <w:rPr>
                <w:b/>
                <w:i/>
                <w:iCs/>
                <w:sz w:val="22"/>
                <w:szCs w:val="22"/>
              </w:rPr>
              <w:t>tare</w:t>
            </w:r>
          </w:p>
        </w:tc>
        <w:tc>
          <w:tcPr>
            <w:tcW w:w="1765" w:type="dxa"/>
          </w:tcPr>
          <w:p w:rsidR="00EC72CD" w:rsidRPr="00BD4B41" w:rsidRDefault="00EC72CD" w:rsidP="00EC72CD">
            <w:pPr>
              <w:jc w:val="center"/>
              <w:rPr>
                <w:i/>
                <w:sz w:val="22"/>
                <w:szCs w:val="22"/>
              </w:rPr>
            </w:pPr>
            <w:r w:rsidRPr="00BD4B41">
              <w:rPr>
                <w:i/>
                <w:sz w:val="22"/>
                <w:szCs w:val="22"/>
              </w:rPr>
              <w:t>6-M-</w:t>
            </w:r>
            <w:r>
              <w:rPr>
                <w:i/>
                <w:sz w:val="22"/>
                <w:szCs w:val="22"/>
              </w:rPr>
              <w:t>I 2022</w:t>
            </w:r>
            <w:r w:rsidRPr="00BD4B41">
              <w:rPr>
                <w:i/>
                <w:sz w:val="22"/>
                <w:szCs w:val="22"/>
              </w:rPr>
              <w:t xml:space="preserve"> </w:t>
            </w:r>
          </w:p>
          <w:p w:rsidR="00EC72CD" w:rsidRPr="00BD4B41" w:rsidRDefault="00EC72CD" w:rsidP="00EC72CD">
            <w:pPr>
              <w:jc w:val="center"/>
              <w:rPr>
                <w:i/>
                <w:sz w:val="22"/>
                <w:szCs w:val="22"/>
              </w:rPr>
            </w:pPr>
            <w:r w:rsidRPr="00BD4B41">
              <w:rPr>
                <w:i/>
                <w:sz w:val="22"/>
                <w:szCs w:val="22"/>
              </w:rPr>
              <w:t xml:space="preserve">– </w:t>
            </w:r>
          </w:p>
          <w:p w:rsidR="00E057E4" w:rsidRPr="00BD4B41" w:rsidRDefault="00EC72CD" w:rsidP="00EC72CD">
            <w:pPr>
              <w:jc w:val="center"/>
              <w:rPr>
                <w:i/>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A6EFB" w:rsidRPr="008C1AE4" w:rsidTr="0005701D">
        <w:tc>
          <w:tcPr>
            <w:tcW w:w="9375" w:type="dxa"/>
            <w:gridSpan w:val="6"/>
            <w:shd w:val="clear" w:color="auto" w:fill="EAF1DD" w:themeFill="accent3" w:themeFillTint="33"/>
          </w:tcPr>
          <w:p w:rsidR="00BA6EFB" w:rsidRPr="0005701D" w:rsidRDefault="00BA6EFB" w:rsidP="0005701D">
            <w:pPr>
              <w:rPr>
                <w:b/>
                <w:bCs/>
                <w:sz w:val="22"/>
                <w:szCs w:val="22"/>
                <w:lang w:val="en-US"/>
              </w:rPr>
            </w:pPr>
            <w:r w:rsidRPr="0005701D">
              <w:rPr>
                <w:b/>
                <w:sz w:val="22"/>
                <w:szCs w:val="22"/>
                <w:lang w:val="en-US"/>
              </w:rPr>
              <w:t>I.1.4. Mbulim i nevojave për këshillim psiko-emocional dhe këshillim familjar per personat LGBTI+ dhe familjet e tyre</w:t>
            </w:r>
          </w:p>
        </w:tc>
        <w:tc>
          <w:tcPr>
            <w:tcW w:w="206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A6EFB" w:rsidRPr="0005701D" w:rsidRDefault="00BA6EFB" w:rsidP="00BA6EFB">
            <w:pPr>
              <w:jc w:val="center"/>
              <w:rPr>
                <w:b/>
                <w:iCs/>
                <w:sz w:val="22"/>
                <w:szCs w:val="22"/>
              </w:rPr>
            </w:pPr>
            <w:r w:rsidRPr="0005701D">
              <w:rPr>
                <w:b/>
                <w:iCs/>
                <w:color w:val="000000"/>
              </w:rPr>
              <w:t>MSHMS</w:t>
            </w:r>
          </w:p>
        </w:tc>
        <w:tc>
          <w:tcPr>
            <w:tcW w:w="2520" w:type="dxa"/>
            <w:gridSpan w:val="2"/>
            <w:tcBorders>
              <w:top w:val="single" w:sz="4" w:space="0" w:color="auto"/>
              <w:left w:val="nil"/>
              <w:bottom w:val="single" w:sz="4" w:space="0" w:color="auto"/>
              <w:right w:val="single" w:sz="4" w:space="0" w:color="auto"/>
            </w:tcBorders>
            <w:shd w:val="clear" w:color="auto" w:fill="EAF1DD" w:themeFill="accent3" w:themeFillTint="33"/>
          </w:tcPr>
          <w:p w:rsidR="00BA6EFB" w:rsidRPr="0005701D" w:rsidRDefault="00BA6EFB" w:rsidP="00BA6EFB">
            <w:pPr>
              <w:jc w:val="center"/>
              <w:rPr>
                <w:b/>
                <w:iCs/>
                <w:sz w:val="22"/>
                <w:szCs w:val="22"/>
              </w:rPr>
            </w:pPr>
            <w:r w:rsidRPr="0005701D">
              <w:rPr>
                <w:b/>
                <w:iCs/>
                <w:color w:val="000000"/>
              </w:rPr>
              <w:t>MB/AMVV, NJVV, MFE, OJF, Org.ndërkombëtare</w:t>
            </w:r>
          </w:p>
        </w:tc>
        <w:tc>
          <w:tcPr>
            <w:tcW w:w="1765" w:type="dxa"/>
            <w:tcBorders>
              <w:top w:val="single" w:sz="4" w:space="0" w:color="auto"/>
              <w:left w:val="nil"/>
              <w:bottom w:val="single" w:sz="4" w:space="0" w:color="auto"/>
              <w:right w:val="single" w:sz="4" w:space="0" w:color="auto"/>
            </w:tcBorders>
            <w:shd w:val="clear" w:color="auto" w:fill="EAF1DD" w:themeFill="accent3" w:themeFillTint="33"/>
          </w:tcPr>
          <w:p w:rsidR="00BA6EFB" w:rsidRPr="0005701D" w:rsidRDefault="00BA6EFB" w:rsidP="00BA6EFB">
            <w:pPr>
              <w:jc w:val="center"/>
              <w:rPr>
                <w:b/>
                <w:sz w:val="22"/>
                <w:szCs w:val="22"/>
              </w:rPr>
            </w:pPr>
            <w:r w:rsidRPr="0005701D">
              <w:rPr>
                <w:b/>
                <w:iCs/>
                <w:color w:val="000000"/>
              </w:rPr>
              <w:t xml:space="preserve">6-M-I 2023 </w:t>
            </w:r>
            <w:r w:rsidRPr="0005701D">
              <w:rPr>
                <w:b/>
                <w:iCs/>
                <w:color w:val="000000"/>
              </w:rPr>
              <w:br/>
              <w:t xml:space="preserve">– </w:t>
            </w:r>
            <w:r w:rsidRPr="0005701D">
              <w:rPr>
                <w:b/>
                <w:iCs/>
                <w:color w:val="000000"/>
              </w:rPr>
              <w:br/>
              <w:t>6-M-II 2027</w:t>
            </w:r>
          </w:p>
        </w:tc>
      </w:tr>
      <w:tr w:rsidR="00BA6EFB" w:rsidRPr="00BA6EFB" w:rsidTr="00BA6EFB">
        <w:trPr>
          <w:trHeight w:val="2265"/>
        </w:trPr>
        <w:tc>
          <w:tcPr>
            <w:tcW w:w="7308" w:type="dxa"/>
            <w:gridSpan w:val="5"/>
            <w:hideMark/>
          </w:tcPr>
          <w:p w:rsidR="00BA6EFB" w:rsidRPr="00BA6EFB" w:rsidRDefault="00BA6EFB" w:rsidP="00775CA9">
            <w:pPr>
              <w:rPr>
                <w:rFonts w:eastAsia="Times New Roman"/>
                <w:i/>
                <w:iCs/>
                <w:color w:val="000000"/>
                <w:lang w:val="en-US" w:eastAsia="en-US"/>
              </w:rPr>
            </w:pPr>
            <w:r w:rsidRPr="00BA6EFB">
              <w:rPr>
                <w:rFonts w:eastAsia="Times New Roman"/>
                <w:i/>
                <w:iCs/>
                <w:color w:val="000000"/>
                <w:lang w:val="en-US" w:eastAsia="en-US"/>
              </w:rPr>
              <w:t>I.1.4.a.Fuqizimi i</w:t>
            </w:r>
            <w:r w:rsidR="0005701D">
              <w:rPr>
                <w:rFonts w:eastAsia="Times New Roman"/>
                <w:i/>
                <w:iCs/>
                <w:color w:val="000000"/>
                <w:lang w:val="en-US" w:eastAsia="en-US"/>
              </w:rPr>
              <w:t xml:space="preserve"> </w:t>
            </w:r>
            <w:r w:rsidRPr="00BA6EFB">
              <w:rPr>
                <w:rFonts w:eastAsia="Times New Roman"/>
                <w:i/>
                <w:iCs/>
                <w:color w:val="000000"/>
                <w:lang w:val="en-US" w:eastAsia="en-US"/>
              </w:rPr>
              <w:t>Shërbimit SOS LGBTI+ dhe informimi i shoqërisë mbi ekzistencën e këtij shërbimi</w:t>
            </w:r>
          </w:p>
        </w:tc>
        <w:tc>
          <w:tcPr>
            <w:tcW w:w="2067" w:type="dxa"/>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SOS LGBTI+ i mbështetur financiarisht edhe me buxhetin e shtetit</w:t>
            </w:r>
          </w:p>
        </w:tc>
        <w:tc>
          <w:tcPr>
            <w:tcW w:w="2067" w:type="dxa"/>
            <w:gridSpan w:val="2"/>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MSHMS</w:t>
            </w:r>
          </w:p>
        </w:tc>
        <w:tc>
          <w:tcPr>
            <w:tcW w:w="2520" w:type="dxa"/>
            <w:gridSpan w:val="2"/>
            <w:hideMark/>
          </w:tcPr>
          <w:p w:rsidR="00BA6EFB" w:rsidRPr="00BA6EFB" w:rsidRDefault="00BA6EFB" w:rsidP="00BA6EFB">
            <w:pPr>
              <w:rPr>
                <w:rFonts w:eastAsia="Times New Roman"/>
                <w:i/>
                <w:iCs/>
                <w:color w:val="000000"/>
                <w:lang w:val="en-US" w:eastAsia="en-US"/>
              </w:rPr>
            </w:pPr>
            <w:r w:rsidRPr="00BA6EFB">
              <w:rPr>
                <w:rFonts w:eastAsia="Times New Roman"/>
                <w:i/>
                <w:iCs/>
                <w:color w:val="000000"/>
                <w:lang w:val="en-US" w:eastAsia="en-US"/>
              </w:rPr>
              <w:t>MB/AMVV, NJVV, MFE, OJF, Org.ndërkombëtare</w:t>
            </w:r>
          </w:p>
        </w:tc>
        <w:tc>
          <w:tcPr>
            <w:tcW w:w="1765" w:type="dxa"/>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 xml:space="preserve">6-M-I 2023 </w:t>
            </w:r>
            <w:r w:rsidRPr="00BA6EFB">
              <w:rPr>
                <w:rFonts w:eastAsia="Times New Roman"/>
                <w:i/>
                <w:iCs/>
                <w:color w:val="000000"/>
                <w:lang w:val="en-US" w:eastAsia="en-US"/>
              </w:rPr>
              <w:br/>
              <w:t xml:space="preserve">– </w:t>
            </w:r>
            <w:r w:rsidRPr="00BA6EFB">
              <w:rPr>
                <w:rFonts w:eastAsia="Times New Roman"/>
                <w:i/>
                <w:iCs/>
                <w:color w:val="000000"/>
                <w:lang w:val="en-US" w:eastAsia="en-US"/>
              </w:rPr>
              <w:br/>
              <w:t>6-M-II 2027</w:t>
            </w:r>
          </w:p>
        </w:tc>
      </w:tr>
      <w:tr w:rsidR="00BA6EFB" w:rsidRPr="00BA6EFB" w:rsidTr="00BA6EFB">
        <w:trPr>
          <w:trHeight w:val="1590"/>
        </w:trPr>
        <w:tc>
          <w:tcPr>
            <w:tcW w:w="7308" w:type="dxa"/>
            <w:gridSpan w:val="5"/>
            <w:hideMark/>
          </w:tcPr>
          <w:p w:rsidR="00BA6EFB" w:rsidRPr="00BA6EFB" w:rsidRDefault="00BA6EFB" w:rsidP="00BA6EFB">
            <w:pPr>
              <w:rPr>
                <w:rFonts w:eastAsia="Times New Roman"/>
                <w:i/>
                <w:iCs/>
                <w:color w:val="000000"/>
                <w:lang w:val="en-US" w:eastAsia="en-US"/>
              </w:rPr>
            </w:pPr>
            <w:r w:rsidRPr="00BA6EFB">
              <w:rPr>
                <w:rFonts w:eastAsia="Times New Roman"/>
                <w:i/>
                <w:iCs/>
                <w:color w:val="000000"/>
                <w:lang w:val="en-US" w:eastAsia="en-US"/>
              </w:rPr>
              <w:t>I.1.4.b. Pilotimi ne 5 qendra komunitare multifunksionale të Bashkisë Tiranë i grupeve të këshillimit për prindërit/familjarët e personave LGBTI+</w:t>
            </w:r>
          </w:p>
        </w:tc>
        <w:tc>
          <w:tcPr>
            <w:tcW w:w="2067" w:type="dxa"/>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5 programe këshillimi familjar të ngritura në nivel NJVV</w:t>
            </w:r>
          </w:p>
        </w:tc>
        <w:tc>
          <w:tcPr>
            <w:tcW w:w="2067" w:type="dxa"/>
            <w:gridSpan w:val="2"/>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NJVV</w:t>
            </w:r>
          </w:p>
        </w:tc>
        <w:tc>
          <w:tcPr>
            <w:tcW w:w="2520" w:type="dxa"/>
            <w:gridSpan w:val="2"/>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MSHMS, MB/AMVV, MFE, FSHS, OJF, org. ndërkombëtare</w:t>
            </w:r>
          </w:p>
        </w:tc>
        <w:tc>
          <w:tcPr>
            <w:tcW w:w="1765" w:type="dxa"/>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 xml:space="preserve">6-M-I 2023 </w:t>
            </w:r>
            <w:r w:rsidRPr="00BA6EFB">
              <w:rPr>
                <w:rFonts w:eastAsia="Times New Roman"/>
                <w:i/>
                <w:iCs/>
                <w:color w:val="000000"/>
                <w:lang w:val="en-US" w:eastAsia="en-US"/>
              </w:rPr>
              <w:br/>
              <w:t xml:space="preserve">– </w:t>
            </w:r>
            <w:r w:rsidRPr="00BA6EFB">
              <w:rPr>
                <w:rFonts w:eastAsia="Times New Roman"/>
                <w:i/>
                <w:iCs/>
                <w:color w:val="000000"/>
                <w:lang w:val="en-US" w:eastAsia="en-US"/>
              </w:rPr>
              <w:br/>
              <w:t>6-M-II 2025</w:t>
            </w:r>
          </w:p>
        </w:tc>
      </w:tr>
      <w:tr w:rsidR="00BA6EFB" w:rsidRPr="00BA6EFB" w:rsidTr="00775CA9">
        <w:trPr>
          <w:trHeight w:val="1232"/>
        </w:trPr>
        <w:tc>
          <w:tcPr>
            <w:tcW w:w="7308" w:type="dxa"/>
            <w:gridSpan w:val="5"/>
            <w:hideMark/>
          </w:tcPr>
          <w:p w:rsidR="00BA6EFB" w:rsidRPr="00BA6EFB" w:rsidRDefault="00BA6EFB" w:rsidP="0005701D">
            <w:pPr>
              <w:rPr>
                <w:rFonts w:eastAsia="Times New Roman"/>
                <w:i/>
                <w:iCs/>
                <w:color w:val="000000"/>
                <w:lang w:val="en-US" w:eastAsia="en-US"/>
              </w:rPr>
            </w:pPr>
            <w:r w:rsidRPr="00BA6EFB">
              <w:rPr>
                <w:rFonts w:eastAsia="Times New Roman"/>
                <w:i/>
                <w:iCs/>
                <w:color w:val="000000"/>
                <w:lang w:val="en-US" w:eastAsia="en-US"/>
              </w:rPr>
              <w:lastRenderedPageBreak/>
              <w:t>I.1.4.c. Shtrirja e shërbimi të këshillimit të prindërve/familjarëve të LGBTI+ edhe në dy qarqe të tjera</w:t>
            </w:r>
          </w:p>
        </w:tc>
        <w:tc>
          <w:tcPr>
            <w:tcW w:w="2067" w:type="dxa"/>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Modeli i Bashkisë Tiranë i replikuar edhe në dy bashki të tjera</w:t>
            </w:r>
          </w:p>
        </w:tc>
        <w:tc>
          <w:tcPr>
            <w:tcW w:w="2067" w:type="dxa"/>
            <w:gridSpan w:val="2"/>
            <w:hideMark/>
          </w:tcPr>
          <w:p w:rsidR="00BA6EFB" w:rsidRPr="00BA6EFB" w:rsidRDefault="00BA6EFB" w:rsidP="00BA6EFB">
            <w:pPr>
              <w:jc w:val="center"/>
              <w:rPr>
                <w:rFonts w:eastAsia="Times New Roman"/>
                <w:i/>
                <w:iCs/>
                <w:color w:val="000000"/>
                <w:lang w:val="en-US" w:eastAsia="en-US"/>
              </w:rPr>
            </w:pPr>
            <w:r w:rsidRPr="00BA6EFB">
              <w:rPr>
                <w:rFonts w:eastAsia="Times New Roman"/>
                <w:i/>
                <w:iCs/>
                <w:color w:val="000000"/>
                <w:lang w:val="en-US" w:eastAsia="en-US"/>
              </w:rPr>
              <w:t>NJVV</w:t>
            </w:r>
          </w:p>
        </w:tc>
        <w:tc>
          <w:tcPr>
            <w:tcW w:w="2520" w:type="dxa"/>
            <w:gridSpan w:val="2"/>
            <w:hideMark/>
          </w:tcPr>
          <w:p w:rsidR="00BA6EFB" w:rsidRPr="00BA6EFB" w:rsidRDefault="00BA6EFB" w:rsidP="00BA6EFB">
            <w:pPr>
              <w:rPr>
                <w:rFonts w:eastAsia="Times New Roman"/>
                <w:i/>
                <w:iCs/>
                <w:color w:val="000000"/>
                <w:lang w:val="en-US" w:eastAsia="en-US"/>
              </w:rPr>
            </w:pPr>
            <w:r w:rsidRPr="00BA6EFB">
              <w:rPr>
                <w:rFonts w:eastAsia="Times New Roman"/>
                <w:i/>
                <w:iCs/>
                <w:color w:val="000000"/>
                <w:lang w:val="en-US" w:eastAsia="en-US"/>
              </w:rPr>
              <w:t>MSHMS, MB/AMVV, MFE, FSHS, OJF, org. ndërkombëtare</w:t>
            </w:r>
          </w:p>
        </w:tc>
        <w:tc>
          <w:tcPr>
            <w:tcW w:w="1765" w:type="dxa"/>
            <w:hideMark/>
          </w:tcPr>
          <w:p w:rsidR="00BA6EFB" w:rsidRPr="00BA6EFB" w:rsidRDefault="00BA6EFB" w:rsidP="00B402CA">
            <w:pPr>
              <w:jc w:val="center"/>
              <w:rPr>
                <w:rFonts w:eastAsia="Times New Roman"/>
                <w:i/>
                <w:iCs/>
                <w:color w:val="000000"/>
                <w:lang w:val="en-US" w:eastAsia="en-US"/>
              </w:rPr>
            </w:pPr>
            <w:r w:rsidRPr="00BA6EFB">
              <w:rPr>
                <w:rFonts w:eastAsia="Times New Roman"/>
                <w:i/>
                <w:iCs/>
                <w:color w:val="000000"/>
                <w:lang w:val="en-US" w:eastAsia="en-US"/>
              </w:rPr>
              <w:t xml:space="preserve">6-M-I 2026 </w:t>
            </w:r>
            <w:r w:rsidRPr="00BA6EFB">
              <w:rPr>
                <w:rFonts w:eastAsia="Times New Roman"/>
                <w:i/>
                <w:iCs/>
                <w:color w:val="000000"/>
                <w:lang w:val="en-US" w:eastAsia="en-US"/>
              </w:rPr>
              <w:br/>
              <w:t xml:space="preserve">– </w:t>
            </w:r>
            <w:r w:rsidRPr="00BA6EFB">
              <w:rPr>
                <w:rFonts w:eastAsia="Times New Roman"/>
                <w:i/>
                <w:iCs/>
                <w:color w:val="000000"/>
                <w:lang w:val="en-US" w:eastAsia="en-US"/>
              </w:rPr>
              <w:br/>
              <w:t>6-M-II 202</w:t>
            </w:r>
            <w:r w:rsidR="00B402CA">
              <w:rPr>
                <w:rFonts w:eastAsia="Times New Roman"/>
                <w:i/>
                <w:iCs/>
                <w:color w:val="000000"/>
                <w:lang w:val="en-US" w:eastAsia="en-US"/>
              </w:rPr>
              <w:t>7</w:t>
            </w:r>
          </w:p>
        </w:tc>
      </w:tr>
      <w:tr w:rsidR="00BA6EFB" w:rsidRPr="00265B92" w:rsidTr="00BA6EFB">
        <w:tc>
          <w:tcPr>
            <w:tcW w:w="2700" w:type="dxa"/>
            <w:gridSpan w:val="4"/>
            <w:shd w:val="clear" w:color="auto" w:fill="FBD4B4" w:themeFill="accent6" w:themeFillTint="66"/>
          </w:tcPr>
          <w:p w:rsidR="00BA6EFB" w:rsidRPr="0005701D" w:rsidRDefault="00BA6EFB" w:rsidP="00BA6EFB">
            <w:pPr>
              <w:rPr>
                <w:b/>
                <w:sz w:val="22"/>
                <w:szCs w:val="22"/>
              </w:rPr>
            </w:pPr>
            <w:r w:rsidRPr="0005701D">
              <w:rPr>
                <w:b/>
                <w:sz w:val="22"/>
                <w:szCs w:val="22"/>
              </w:rPr>
              <w:t>Objektivi specifik I.2:</w:t>
            </w:r>
          </w:p>
        </w:tc>
        <w:tc>
          <w:tcPr>
            <w:tcW w:w="13027" w:type="dxa"/>
            <w:gridSpan w:val="7"/>
            <w:shd w:val="clear" w:color="auto" w:fill="FBD4B4" w:themeFill="accent6" w:themeFillTint="66"/>
          </w:tcPr>
          <w:p w:rsidR="00BA6EFB" w:rsidRDefault="00BA6EFB" w:rsidP="00BA6EFB">
            <w:pPr>
              <w:rPr>
                <w:b/>
              </w:rPr>
            </w:pPr>
            <w:r>
              <w:rPr>
                <w:b/>
              </w:rPr>
              <w:t>Zvogëlimi i pabarazive dhe diskriminimit të personave LGBTI+ në arsim</w:t>
            </w:r>
          </w:p>
          <w:p w:rsidR="00BA6EFB" w:rsidRPr="0005701D" w:rsidRDefault="00BA6EFB" w:rsidP="00BA6EFB">
            <w:pPr>
              <w:rPr>
                <w:b/>
                <w:sz w:val="22"/>
                <w:szCs w:val="22"/>
              </w:rPr>
            </w:pPr>
          </w:p>
        </w:tc>
      </w:tr>
      <w:tr w:rsidR="00BA6EFB" w:rsidRPr="00265B92" w:rsidTr="00BA6EFB">
        <w:tc>
          <w:tcPr>
            <w:tcW w:w="2700" w:type="dxa"/>
            <w:gridSpan w:val="4"/>
            <w:shd w:val="clear" w:color="auto" w:fill="FDE9D9" w:themeFill="accent6" w:themeFillTint="33"/>
          </w:tcPr>
          <w:p w:rsidR="00BA6EFB" w:rsidRPr="0005701D" w:rsidRDefault="00BA6EFB" w:rsidP="00BA6EFB">
            <w:pPr>
              <w:rPr>
                <w:b/>
                <w:sz w:val="22"/>
                <w:szCs w:val="22"/>
                <w:u w:val="single"/>
                <w:lang w:val="en-US"/>
              </w:rPr>
            </w:pPr>
            <w:r w:rsidRPr="0005701D">
              <w:rPr>
                <w:b/>
                <w:bCs/>
                <w:sz w:val="22"/>
                <w:szCs w:val="22"/>
                <w:u w:val="single"/>
              </w:rPr>
              <w:t xml:space="preserve">Rezultatet e pritshme: </w:t>
            </w:r>
          </w:p>
          <w:p w:rsidR="00BA6EFB" w:rsidRPr="0005701D" w:rsidRDefault="00BA6EFB" w:rsidP="00BA6EFB">
            <w:pPr>
              <w:rPr>
                <w:b/>
                <w:bCs/>
                <w:sz w:val="22"/>
                <w:szCs w:val="22"/>
                <w:u w:val="single"/>
              </w:rPr>
            </w:pPr>
          </w:p>
        </w:tc>
        <w:tc>
          <w:tcPr>
            <w:tcW w:w="13027" w:type="dxa"/>
            <w:gridSpan w:val="7"/>
            <w:shd w:val="clear" w:color="auto" w:fill="FDE9D9" w:themeFill="accent6" w:themeFillTint="33"/>
          </w:tcPr>
          <w:p w:rsidR="00BA6EFB" w:rsidRDefault="00BA6EFB" w:rsidP="00BA6EFB">
            <w:pPr>
              <w:jc w:val="both"/>
              <w:rPr>
                <w:bCs/>
                <w:sz w:val="22"/>
                <w:szCs w:val="22"/>
              </w:rPr>
            </w:pPr>
            <w:r>
              <w:rPr>
                <w:bCs/>
                <w:sz w:val="22"/>
                <w:szCs w:val="22"/>
              </w:rPr>
              <w:t>i. Institucione arsimore më miqësore dhe gjithëpërfshirëse kundrejt personave LGBTI+</w:t>
            </w:r>
          </w:p>
          <w:p w:rsidR="00BA6EFB" w:rsidRDefault="00BA6EFB" w:rsidP="00BA6EFB">
            <w:pPr>
              <w:jc w:val="both"/>
              <w:rPr>
                <w:bCs/>
                <w:sz w:val="22"/>
                <w:szCs w:val="22"/>
              </w:rPr>
            </w:pPr>
          </w:p>
          <w:p w:rsidR="00BA6EFB" w:rsidRPr="0005701D" w:rsidRDefault="00BA6EFB" w:rsidP="00BA6EFB">
            <w:pPr>
              <w:jc w:val="both"/>
              <w:rPr>
                <w:b/>
                <w:sz w:val="22"/>
                <w:szCs w:val="22"/>
                <w:u w:val="single"/>
                <w:lang w:val="en-US"/>
              </w:rPr>
            </w:pPr>
            <w:r>
              <w:rPr>
                <w:bCs/>
                <w:sz w:val="22"/>
                <w:szCs w:val="22"/>
              </w:rPr>
              <w:t>ii. Profesioniste dhe profesionistë të fushës së arsimit më të përgatitur profesionalisht dhe më të gatshëm për të kontribuar në zvogëlimin e pabarazivedhe diskriminimit të personave LGBTI+ në arsim</w:t>
            </w:r>
          </w:p>
        </w:tc>
      </w:tr>
      <w:tr w:rsidR="00BA6EFB" w:rsidRPr="00265B92" w:rsidTr="00BA6EFB">
        <w:tc>
          <w:tcPr>
            <w:tcW w:w="2700" w:type="dxa"/>
            <w:gridSpan w:val="4"/>
            <w:shd w:val="clear" w:color="auto" w:fill="FDE9D9" w:themeFill="accent6" w:themeFillTint="33"/>
          </w:tcPr>
          <w:p w:rsidR="00BA6EFB" w:rsidRPr="0005701D" w:rsidRDefault="00BA6EFB" w:rsidP="00BA6EFB">
            <w:pPr>
              <w:rPr>
                <w:b/>
                <w:bCs/>
                <w:sz w:val="22"/>
                <w:szCs w:val="22"/>
                <w:u w:val="single"/>
              </w:rPr>
            </w:pPr>
            <w:r w:rsidRPr="0005701D">
              <w:rPr>
                <w:b/>
                <w:sz w:val="22"/>
                <w:szCs w:val="22"/>
                <w:u w:val="single"/>
              </w:rPr>
              <w:t>Treguesit:</w:t>
            </w:r>
          </w:p>
        </w:tc>
        <w:tc>
          <w:tcPr>
            <w:tcW w:w="8730" w:type="dxa"/>
            <w:gridSpan w:val="3"/>
            <w:shd w:val="clear" w:color="auto" w:fill="FDE9D9" w:themeFill="accent6" w:themeFillTint="33"/>
          </w:tcPr>
          <w:p w:rsidR="00BA6EFB" w:rsidRDefault="00BA6EFB" w:rsidP="00BA6EFB">
            <w:pPr>
              <w:jc w:val="both"/>
              <w:rPr>
                <w:bCs/>
                <w:sz w:val="22"/>
                <w:szCs w:val="22"/>
              </w:rPr>
            </w:pPr>
          </w:p>
          <w:p w:rsidR="00BA6EFB" w:rsidRPr="0005701D" w:rsidRDefault="00BA6EFB" w:rsidP="00BA6EFB">
            <w:pPr>
              <w:jc w:val="both"/>
              <w:rPr>
                <w:bCs/>
                <w:sz w:val="22"/>
                <w:szCs w:val="22"/>
              </w:rPr>
            </w:pPr>
            <w:r>
              <w:rPr>
                <w:bCs/>
                <w:sz w:val="22"/>
                <w:szCs w:val="22"/>
              </w:rPr>
              <w:t>I.2.a. Numri i fëmijëve, adoleshentëve dhe studentëve LGBTI+ të diskriminua</w:t>
            </w:r>
            <w:r w:rsidR="00775CA9">
              <w:rPr>
                <w:bCs/>
                <w:sz w:val="22"/>
                <w:szCs w:val="22"/>
              </w:rPr>
              <w:t>r</w:t>
            </w:r>
            <w:r>
              <w:rPr>
                <w:bCs/>
                <w:sz w:val="22"/>
                <w:szCs w:val="22"/>
              </w:rPr>
              <w:t xml:space="preserve"> apo dhunuar, të cilët raportojnë për situatën e tyre në institucionet arsimore dhe mbështeten e trajtohen  me prioritet e sipas standardeve nga profesionistet dhe profesionistët e fushës së arsimit. </w:t>
            </w:r>
          </w:p>
        </w:tc>
        <w:tc>
          <w:tcPr>
            <w:tcW w:w="2520" w:type="dxa"/>
            <w:gridSpan w:val="2"/>
            <w:shd w:val="clear" w:color="auto" w:fill="FDE9D9" w:themeFill="accent6" w:themeFillTint="33"/>
          </w:tcPr>
          <w:p w:rsidR="00BA6EFB" w:rsidRPr="0005701D" w:rsidRDefault="00BA6EFB" w:rsidP="00BA6EFB">
            <w:pPr>
              <w:jc w:val="center"/>
              <w:rPr>
                <w:sz w:val="22"/>
                <w:szCs w:val="22"/>
              </w:rPr>
            </w:pPr>
            <w:r w:rsidRPr="0005701D">
              <w:rPr>
                <w:i/>
                <w:sz w:val="22"/>
                <w:szCs w:val="22"/>
                <w:u w:val="single"/>
              </w:rPr>
              <w:t>Baseline</w:t>
            </w:r>
            <w:r w:rsidRPr="0005701D">
              <w:rPr>
                <w:sz w:val="22"/>
                <w:szCs w:val="22"/>
              </w:rPr>
              <w:t>:</w:t>
            </w:r>
          </w:p>
          <w:p w:rsidR="00BA6EFB" w:rsidRPr="0005701D" w:rsidRDefault="00BA6EFB" w:rsidP="00775CA9">
            <w:pPr>
              <w:jc w:val="center"/>
              <w:rPr>
                <w:b/>
                <w:bCs/>
                <w:sz w:val="22"/>
                <w:szCs w:val="22"/>
                <w:u w:val="single"/>
              </w:rPr>
            </w:pPr>
            <w:r>
              <w:rPr>
                <w:i/>
                <w:iCs/>
                <w:color w:val="000000"/>
                <w:sz w:val="22"/>
                <w:szCs w:val="22"/>
              </w:rPr>
              <w:t>Do përcaktohet gjatë vitit shkollor 2021 - 2022</w:t>
            </w:r>
          </w:p>
        </w:tc>
        <w:tc>
          <w:tcPr>
            <w:tcW w:w="1777" w:type="dxa"/>
            <w:gridSpan w:val="2"/>
            <w:shd w:val="clear" w:color="auto" w:fill="FDE9D9" w:themeFill="accent6" w:themeFillTint="33"/>
          </w:tcPr>
          <w:p w:rsidR="00BA6EFB" w:rsidRPr="0005701D" w:rsidRDefault="00BA6EFB" w:rsidP="00BA6EFB">
            <w:pPr>
              <w:jc w:val="center"/>
              <w:rPr>
                <w:sz w:val="22"/>
                <w:szCs w:val="22"/>
              </w:rPr>
            </w:pPr>
            <w:r w:rsidRPr="0005701D">
              <w:rPr>
                <w:i/>
                <w:sz w:val="22"/>
                <w:szCs w:val="22"/>
                <w:u w:val="single"/>
              </w:rPr>
              <w:t>Target</w:t>
            </w:r>
            <w:r w:rsidRPr="0005701D">
              <w:rPr>
                <w:sz w:val="22"/>
                <w:szCs w:val="22"/>
              </w:rPr>
              <w:t xml:space="preserve">: </w:t>
            </w:r>
          </w:p>
          <w:p w:rsidR="00BA6EFB" w:rsidRPr="0005701D" w:rsidRDefault="00BA6EFB" w:rsidP="00BA6EFB">
            <w:pPr>
              <w:jc w:val="center"/>
              <w:rPr>
                <w:bCs/>
                <w:sz w:val="22"/>
                <w:szCs w:val="22"/>
              </w:rPr>
            </w:pPr>
            <w:r>
              <w:rPr>
                <w:bCs/>
                <w:sz w:val="22"/>
                <w:szCs w:val="22"/>
              </w:rPr>
              <w:t>Rritur me 1% çdo vit</w:t>
            </w:r>
          </w:p>
          <w:p w:rsidR="00BA6EFB" w:rsidRPr="0005701D" w:rsidRDefault="00BA6EFB" w:rsidP="00BA6EFB">
            <w:pPr>
              <w:jc w:val="center"/>
              <w:rPr>
                <w:bCs/>
                <w:sz w:val="22"/>
                <w:szCs w:val="22"/>
              </w:rPr>
            </w:pPr>
          </w:p>
        </w:tc>
      </w:tr>
      <w:tr w:rsidR="00BA6EFB" w:rsidRPr="00265B92" w:rsidTr="00BA6EFB">
        <w:tc>
          <w:tcPr>
            <w:tcW w:w="7308" w:type="dxa"/>
            <w:gridSpan w:val="5"/>
            <w:shd w:val="clear" w:color="auto" w:fill="C2D69B" w:themeFill="accent3" w:themeFillTint="99"/>
          </w:tcPr>
          <w:p w:rsidR="00BA6EFB" w:rsidRPr="0005701D" w:rsidRDefault="00BA6EFB" w:rsidP="00BA6EFB">
            <w:pPr>
              <w:jc w:val="center"/>
              <w:rPr>
                <w:b/>
                <w:sz w:val="22"/>
                <w:szCs w:val="22"/>
              </w:rPr>
            </w:pPr>
            <w:r w:rsidRPr="0005701D">
              <w:rPr>
                <w:b/>
                <w:sz w:val="22"/>
                <w:szCs w:val="22"/>
              </w:rPr>
              <w:t>MASAT DHE AKTIVITETET</w:t>
            </w:r>
          </w:p>
        </w:tc>
        <w:tc>
          <w:tcPr>
            <w:tcW w:w="2067" w:type="dxa"/>
            <w:shd w:val="clear" w:color="auto" w:fill="C2D69B" w:themeFill="accent3" w:themeFillTint="99"/>
          </w:tcPr>
          <w:p w:rsidR="00BA6EFB" w:rsidRPr="0005701D" w:rsidRDefault="00BA6EFB" w:rsidP="00BA6EFB">
            <w:pPr>
              <w:jc w:val="center"/>
              <w:rPr>
                <w:b/>
                <w:sz w:val="22"/>
                <w:szCs w:val="22"/>
              </w:rPr>
            </w:pPr>
            <w:r w:rsidRPr="0005701D">
              <w:rPr>
                <w:b/>
                <w:sz w:val="22"/>
                <w:szCs w:val="22"/>
              </w:rPr>
              <w:t>PRODUKTI</w:t>
            </w:r>
          </w:p>
        </w:tc>
        <w:tc>
          <w:tcPr>
            <w:tcW w:w="2067" w:type="dxa"/>
            <w:gridSpan w:val="2"/>
            <w:shd w:val="clear" w:color="auto" w:fill="C2D69B" w:themeFill="accent3" w:themeFillTint="99"/>
          </w:tcPr>
          <w:p w:rsidR="00BA6EFB" w:rsidRPr="0005701D" w:rsidRDefault="00BA6EFB" w:rsidP="00BA6EFB">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BA6EFB" w:rsidRPr="0005701D" w:rsidRDefault="00BA6EFB" w:rsidP="00BA6EFB">
            <w:pPr>
              <w:jc w:val="center"/>
              <w:rPr>
                <w:b/>
                <w:sz w:val="22"/>
                <w:szCs w:val="22"/>
              </w:rPr>
            </w:pPr>
            <w:r w:rsidRPr="0005701D">
              <w:rPr>
                <w:b/>
                <w:sz w:val="22"/>
                <w:szCs w:val="22"/>
              </w:rPr>
              <w:t>INSTITUCIONET PARTNERE</w:t>
            </w:r>
          </w:p>
        </w:tc>
        <w:tc>
          <w:tcPr>
            <w:tcW w:w="1765" w:type="dxa"/>
            <w:shd w:val="clear" w:color="auto" w:fill="C2D69B" w:themeFill="accent3" w:themeFillTint="99"/>
          </w:tcPr>
          <w:p w:rsidR="00BA6EFB" w:rsidRPr="0005701D" w:rsidRDefault="00BA6EFB" w:rsidP="00BA6EFB">
            <w:pPr>
              <w:jc w:val="center"/>
              <w:rPr>
                <w:b/>
                <w:sz w:val="22"/>
                <w:szCs w:val="22"/>
              </w:rPr>
            </w:pPr>
            <w:r w:rsidRPr="0005701D">
              <w:rPr>
                <w:b/>
                <w:sz w:val="22"/>
                <w:szCs w:val="22"/>
              </w:rPr>
              <w:t>AFATI KOHOR</w:t>
            </w:r>
          </w:p>
        </w:tc>
      </w:tr>
      <w:tr w:rsidR="00BA6EFB" w:rsidRPr="00265B92" w:rsidTr="00BA6EFB">
        <w:tc>
          <w:tcPr>
            <w:tcW w:w="9375" w:type="dxa"/>
            <w:gridSpan w:val="6"/>
            <w:shd w:val="clear" w:color="auto" w:fill="EAF1DD" w:themeFill="accent3" w:themeFillTint="33"/>
          </w:tcPr>
          <w:p w:rsidR="00BA6EFB" w:rsidRPr="0005701D" w:rsidRDefault="00BA6EFB" w:rsidP="00BA6EFB">
            <w:pPr>
              <w:jc w:val="both"/>
              <w:rPr>
                <w:b/>
                <w:bCs/>
                <w:sz w:val="22"/>
                <w:szCs w:val="22"/>
                <w:lang w:val="en-US"/>
              </w:rPr>
            </w:pPr>
            <w:r w:rsidRPr="0005701D">
              <w:rPr>
                <w:b/>
                <w:sz w:val="22"/>
                <w:szCs w:val="22"/>
              </w:rPr>
              <w:t xml:space="preserve">I.2.1. </w:t>
            </w:r>
            <w:r>
              <w:rPr>
                <w:b/>
              </w:rPr>
              <w:t>Ndërtimi/fuqizimi i kapaciteteve të profesionisteve dhe profesionistëve në sistemin arsimor parauniversitar për të luftuar pabarazitë dhe diskriminimin e personave LGBTI+ në arsim.</w:t>
            </w:r>
          </w:p>
        </w:tc>
        <w:tc>
          <w:tcPr>
            <w:tcW w:w="2067" w:type="dxa"/>
            <w:gridSpan w:val="2"/>
            <w:shd w:val="clear" w:color="auto" w:fill="EAF1DD" w:themeFill="accent3" w:themeFillTint="33"/>
          </w:tcPr>
          <w:p w:rsidR="00BA6EFB" w:rsidRPr="0005701D" w:rsidRDefault="00BA6EFB" w:rsidP="00BA6EFB">
            <w:pPr>
              <w:jc w:val="center"/>
              <w:rPr>
                <w:b/>
                <w:sz w:val="22"/>
                <w:szCs w:val="22"/>
              </w:rPr>
            </w:pPr>
            <w:r>
              <w:rPr>
                <w:b/>
                <w:sz w:val="22"/>
                <w:szCs w:val="22"/>
              </w:rPr>
              <w:t>MASR</w:t>
            </w:r>
            <w:r w:rsidRPr="0005701D">
              <w:rPr>
                <w:b/>
                <w:sz w:val="22"/>
                <w:szCs w:val="22"/>
              </w:rPr>
              <w:t xml:space="preserve"> </w:t>
            </w:r>
          </w:p>
        </w:tc>
        <w:tc>
          <w:tcPr>
            <w:tcW w:w="2520" w:type="dxa"/>
            <w:gridSpan w:val="2"/>
            <w:shd w:val="clear" w:color="auto" w:fill="EAF1DD" w:themeFill="accent3" w:themeFillTint="33"/>
          </w:tcPr>
          <w:p w:rsidR="00BA6EFB" w:rsidRPr="0005701D" w:rsidRDefault="00BA6EFB" w:rsidP="00BA6EFB">
            <w:pPr>
              <w:jc w:val="center"/>
              <w:rPr>
                <w:b/>
                <w:sz w:val="22"/>
                <w:szCs w:val="22"/>
                <w:lang w:val="en-US"/>
              </w:rPr>
            </w:pPr>
            <w:r>
              <w:rPr>
                <w:b/>
                <w:sz w:val="22"/>
                <w:szCs w:val="22"/>
              </w:rPr>
              <w:t>MSHMS, NJVV, OJF, Org.ndërkombëtare</w:t>
            </w:r>
          </w:p>
        </w:tc>
        <w:tc>
          <w:tcPr>
            <w:tcW w:w="1765" w:type="dxa"/>
            <w:shd w:val="clear" w:color="auto" w:fill="EAF1DD" w:themeFill="accent3" w:themeFillTint="33"/>
          </w:tcPr>
          <w:p w:rsidR="0005701D" w:rsidRPr="00BE000A" w:rsidRDefault="0005701D" w:rsidP="0005701D">
            <w:pPr>
              <w:jc w:val="center"/>
              <w:rPr>
                <w:b/>
                <w:sz w:val="22"/>
                <w:szCs w:val="22"/>
              </w:rPr>
            </w:pPr>
            <w:r w:rsidRPr="00BE000A">
              <w:rPr>
                <w:b/>
                <w:sz w:val="22"/>
                <w:szCs w:val="22"/>
              </w:rPr>
              <w:t xml:space="preserve">6-M-I 2022 </w:t>
            </w:r>
          </w:p>
          <w:p w:rsidR="0005701D" w:rsidRPr="00BE000A" w:rsidRDefault="0005701D" w:rsidP="0005701D">
            <w:pPr>
              <w:jc w:val="center"/>
              <w:rPr>
                <w:b/>
                <w:sz w:val="22"/>
                <w:szCs w:val="22"/>
              </w:rPr>
            </w:pPr>
            <w:r w:rsidRPr="00BE000A">
              <w:rPr>
                <w:b/>
                <w:sz w:val="22"/>
                <w:szCs w:val="22"/>
              </w:rPr>
              <w:t xml:space="preserve">– </w:t>
            </w:r>
          </w:p>
          <w:p w:rsidR="00BA6EFB" w:rsidRPr="0005701D" w:rsidRDefault="0005701D" w:rsidP="0005701D">
            <w:pPr>
              <w:jc w:val="center"/>
              <w:rPr>
                <w:b/>
                <w:sz w:val="22"/>
                <w:szCs w:val="22"/>
                <w:lang w:val="en-US"/>
              </w:rPr>
            </w:pPr>
            <w:r w:rsidRPr="00BE000A">
              <w:rPr>
                <w:b/>
                <w:sz w:val="22"/>
                <w:szCs w:val="22"/>
              </w:rPr>
              <w:t>6-M-II 2027</w:t>
            </w:r>
          </w:p>
        </w:tc>
      </w:tr>
      <w:tr w:rsidR="00BA6EFB" w:rsidRPr="00265B92" w:rsidTr="00BA6EFB">
        <w:tc>
          <w:tcPr>
            <w:tcW w:w="7308" w:type="dxa"/>
            <w:gridSpan w:val="5"/>
            <w:shd w:val="clear" w:color="auto" w:fill="auto"/>
          </w:tcPr>
          <w:p w:rsidR="00BA6EFB" w:rsidRPr="0005701D" w:rsidRDefault="00BA6EFB" w:rsidP="00BA6EFB">
            <w:pPr>
              <w:jc w:val="both"/>
              <w:rPr>
                <w:i/>
                <w:sz w:val="22"/>
                <w:szCs w:val="22"/>
                <w:lang w:val="en-US"/>
              </w:rPr>
            </w:pPr>
            <w:r w:rsidRPr="0005701D">
              <w:rPr>
                <w:i/>
                <w:sz w:val="22"/>
                <w:szCs w:val="22"/>
                <w:lang w:val="en-US"/>
              </w:rPr>
              <w:t xml:space="preserve">I.2.1.a. </w:t>
            </w:r>
            <w:r w:rsidRPr="00C71AA8">
              <w:rPr>
                <w:i/>
                <w:iCs/>
                <w:color w:val="000000"/>
                <w:sz w:val="22"/>
                <w:szCs w:val="22"/>
              </w:rPr>
              <w:t>P</w:t>
            </w:r>
            <w:r>
              <w:rPr>
                <w:i/>
                <w:iCs/>
                <w:color w:val="000000"/>
                <w:sz w:val="22"/>
                <w:szCs w:val="22"/>
              </w:rPr>
              <w:t>ë</w:t>
            </w:r>
            <w:r w:rsidRPr="00C71AA8">
              <w:rPr>
                <w:i/>
                <w:iCs/>
                <w:color w:val="000000"/>
                <w:sz w:val="22"/>
                <w:szCs w:val="22"/>
              </w:rPr>
              <w:t>rgatitja e nj</w:t>
            </w:r>
            <w:r>
              <w:rPr>
                <w:i/>
                <w:iCs/>
                <w:color w:val="000000"/>
                <w:sz w:val="22"/>
                <w:szCs w:val="22"/>
              </w:rPr>
              <w:t>ë</w:t>
            </w:r>
            <w:r w:rsidRPr="00C71AA8">
              <w:rPr>
                <w:i/>
                <w:iCs/>
                <w:color w:val="000000"/>
                <w:sz w:val="22"/>
                <w:szCs w:val="22"/>
              </w:rPr>
              <w:t xml:space="preserve"> </w:t>
            </w:r>
            <w:r>
              <w:rPr>
                <w:i/>
                <w:iCs/>
                <w:color w:val="000000"/>
                <w:sz w:val="22"/>
                <w:szCs w:val="22"/>
              </w:rPr>
              <w:t>moduli</w:t>
            </w:r>
            <w:r w:rsidRPr="00C71AA8">
              <w:rPr>
                <w:i/>
                <w:iCs/>
                <w:color w:val="000000"/>
                <w:sz w:val="22"/>
                <w:szCs w:val="22"/>
              </w:rPr>
              <w:t xml:space="preserve"> p</w:t>
            </w:r>
            <w:r>
              <w:rPr>
                <w:i/>
                <w:iCs/>
                <w:color w:val="000000"/>
                <w:sz w:val="22"/>
                <w:szCs w:val="22"/>
              </w:rPr>
              <w:t>ë</w:t>
            </w:r>
            <w:r w:rsidRPr="00C71AA8">
              <w:rPr>
                <w:i/>
                <w:iCs/>
                <w:color w:val="000000"/>
                <w:sz w:val="22"/>
                <w:szCs w:val="22"/>
              </w:rPr>
              <w:t>r trajnimin e profesionisteve dhe profesionist</w:t>
            </w:r>
            <w:r>
              <w:rPr>
                <w:i/>
                <w:iCs/>
                <w:color w:val="000000"/>
                <w:sz w:val="22"/>
                <w:szCs w:val="22"/>
              </w:rPr>
              <w:t>ë</w:t>
            </w:r>
            <w:r w:rsidRPr="00C71AA8">
              <w:rPr>
                <w:i/>
                <w:iCs/>
                <w:color w:val="000000"/>
                <w:sz w:val="22"/>
                <w:szCs w:val="22"/>
              </w:rPr>
              <w:t>ve n</w:t>
            </w:r>
            <w:r>
              <w:rPr>
                <w:i/>
                <w:iCs/>
                <w:color w:val="000000"/>
                <w:sz w:val="22"/>
                <w:szCs w:val="22"/>
              </w:rPr>
              <w:t>ë</w:t>
            </w:r>
            <w:r w:rsidRPr="00C71AA8">
              <w:rPr>
                <w:i/>
                <w:iCs/>
                <w:color w:val="000000"/>
                <w:sz w:val="22"/>
                <w:szCs w:val="22"/>
              </w:rPr>
              <w:t xml:space="preserve"> sistemin arsimor parauniversitar</w:t>
            </w:r>
            <w:r>
              <w:rPr>
                <w:i/>
                <w:iCs/>
                <w:color w:val="000000"/>
                <w:sz w:val="22"/>
                <w:szCs w:val="22"/>
              </w:rPr>
              <w:t>, lidhur me çështjet LGBTI+</w:t>
            </w:r>
          </w:p>
        </w:tc>
        <w:tc>
          <w:tcPr>
            <w:tcW w:w="2067" w:type="dxa"/>
          </w:tcPr>
          <w:p w:rsidR="00BA6EFB" w:rsidRPr="0005701D" w:rsidRDefault="00BA6EFB" w:rsidP="00BA6EFB">
            <w:pPr>
              <w:jc w:val="center"/>
              <w:rPr>
                <w:bCs/>
                <w:i/>
                <w:sz w:val="22"/>
                <w:szCs w:val="22"/>
                <w:lang w:val="en-US"/>
              </w:rPr>
            </w:pPr>
            <w:r>
              <w:rPr>
                <w:bCs/>
                <w:i/>
                <w:sz w:val="22"/>
                <w:szCs w:val="22"/>
                <w:lang w:val="en-US"/>
              </w:rPr>
              <w:t>Moduli i</w:t>
            </w:r>
            <w:r w:rsidRPr="0005701D">
              <w:rPr>
                <w:bCs/>
                <w:i/>
                <w:sz w:val="22"/>
                <w:szCs w:val="22"/>
                <w:lang w:val="en-US"/>
              </w:rPr>
              <w:t xml:space="preserve"> p</w:t>
            </w:r>
            <w:r>
              <w:rPr>
                <w:bCs/>
                <w:i/>
                <w:sz w:val="22"/>
                <w:szCs w:val="22"/>
                <w:lang w:val="en-US"/>
              </w:rPr>
              <w:t>ë</w:t>
            </w:r>
            <w:r w:rsidRPr="0005701D">
              <w:rPr>
                <w:bCs/>
                <w:i/>
                <w:sz w:val="22"/>
                <w:szCs w:val="22"/>
                <w:lang w:val="en-US"/>
              </w:rPr>
              <w:t>rgatitur dhe akredituar</w:t>
            </w:r>
          </w:p>
        </w:tc>
        <w:tc>
          <w:tcPr>
            <w:tcW w:w="2067" w:type="dxa"/>
            <w:gridSpan w:val="2"/>
            <w:shd w:val="clear" w:color="auto" w:fill="auto"/>
          </w:tcPr>
          <w:p w:rsidR="00BA6EFB" w:rsidRPr="0005701D" w:rsidRDefault="00BA6EFB" w:rsidP="00BA6EFB">
            <w:pPr>
              <w:jc w:val="center"/>
              <w:rPr>
                <w:b/>
                <w:bCs/>
                <w:i/>
                <w:iCs/>
                <w:sz w:val="22"/>
                <w:szCs w:val="22"/>
                <w:lang w:val="en-US"/>
              </w:rPr>
            </w:pPr>
            <w:r>
              <w:rPr>
                <w:b/>
                <w:i/>
                <w:iCs/>
                <w:sz w:val="22"/>
                <w:szCs w:val="22"/>
              </w:rPr>
              <w:t>MASR</w:t>
            </w:r>
          </w:p>
        </w:tc>
        <w:tc>
          <w:tcPr>
            <w:tcW w:w="2520" w:type="dxa"/>
            <w:gridSpan w:val="2"/>
          </w:tcPr>
          <w:p w:rsidR="00BA6EFB" w:rsidRPr="0005701D" w:rsidRDefault="00BA6EFB" w:rsidP="00BA6EFB">
            <w:pPr>
              <w:jc w:val="center"/>
              <w:rPr>
                <w:bCs/>
                <w:i/>
                <w:sz w:val="22"/>
                <w:szCs w:val="22"/>
                <w:lang w:val="en-US"/>
              </w:rPr>
            </w:pPr>
            <w:r>
              <w:rPr>
                <w:b/>
                <w:i/>
                <w:iCs/>
                <w:sz w:val="22"/>
                <w:szCs w:val="22"/>
              </w:rPr>
              <w:t>ZVAP, MSHMS, KMD, OJF, org. ndërkombëtare</w:t>
            </w:r>
          </w:p>
        </w:tc>
        <w:tc>
          <w:tcPr>
            <w:tcW w:w="1765" w:type="dxa"/>
            <w:shd w:val="clear" w:color="auto" w:fill="auto"/>
          </w:tcPr>
          <w:p w:rsidR="00BA6EFB" w:rsidRPr="00BD4B41" w:rsidRDefault="00BA6EFB" w:rsidP="00BA6EFB">
            <w:pPr>
              <w:jc w:val="center"/>
              <w:rPr>
                <w:i/>
                <w:sz w:val="22"/>
                <w:szCs w:val="22"/>
              </w:rPr>
            </w:pPr>
            <w:r w:rsidRPr="00BD4B41">
              <w:rPr>
                <w:i/>
                <w:sz w:val="22"/>
                <w:szCs w:val="22"/>
              </w:rPr>
              <w:t>6-M-</w:t>
            </w:r>
            <w:r>
              <w:rPr>
                <w:i/>
                <w:sz w:val="22"/>
                <w:szCs w:val="22"/>
              </w:rPr>
              <w:t>I 2022</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05701D" w:rsidRDefault="00BA6EFB" w:rsidP="00BA6EFB">
            <w:pPr>
              <w:jc w:val="center"/>
              <w:rPr>
                <w:i/>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2</w:t>
            </w:r>
          </w:p>
        </w:tc>
      </w:tr>
      <w:tr w:rsidR="00BA6EFB" w:rsidRPr="00265B92" w:rsidTr="00BA6EFB">
        <w:tc>
          <w:tcPr>
            <w:tcW w:w="7308" w:type="dxa"/>
            <w:gridSpan w:val="5"/>
            <w:shd w:val="clear" w:color="auto" w:fill="auto"/>
          </w:tcPr>
          <w:p w:rsidR="00BA6EFB" w:rsidRPr="00775CA9" w:rsidRDefault="00BA6EFB" w:rsidP="00BA6EFB">
            <w:pPr>
              <w:jc w:val="both"/>
              <w:rPr>
                <w:iCs/>
                <w:sz w:val="22"/>
                <w:szCs w:val="22"/>
              </w:rPr>
            </w:pPr>
            <w:r w:rsidRPr="00775CA9">
              <w:rPr>
                <w:sz w:val="22"/>
                <w:szCs w:val="22"/>
                <w:lang w:val="en-US"/>
              </w:rPr>
              <w:t xml:space="preserve">I.2.1.b. </w:t>
            </w:r>
            <w:r w:rsidRPr="00775CA9">
              <w:t>Trajnimi i profesionisteve dhe profesionistëve të arsimit parauniversitar mbi çështjet LGBTI+</w:t>
            </w:r>
          </w:p>
          <w:p w:rsidR="00BA6EFB" w:rsidRPr="0005701D" w:rsidRDefault="00BA6EFB" w:rsidP="00BA6EFB">
            <w:pPr>
              <w:jc w:val="both"/>
              <w:rPr>
                <w:i/>
                <w:sz w:val="22"/>
                <w:szCs w:val="22"/>
                <w:lang w:val="en-US"/>
              </w:rPr>
            </w:pPr>
          </w:p>
        </w:tc>
        <w:tc>
          <w:tcPr>
            <w:tcW w:w="2067" w:type="dxa"/>
          </w:tcPr>
          <w:p w:rsidR="00BA6EFB" w:rsidRPr="0005701D" w:rsidRDefault="00BA6EFB" w:rsidP="00BA6EFB">
            <w:pPr>
              <w:jc w:val="center"/>
              <w:rPr>
                <w:bCs/>
                <w:i/>
                <w:sz w:val="22"/>
                <w:szCs w:val="22"/>
                <w:lang w:val="en-US"/>
              </w:rPr>
            </w:pPr>
            <w:r>
              <w:rPr>
                <w:bCs/>
                <w:i/>
                <w:sz w:val="22"/>
                <w:szCs w:val="22"/>
                <w:lang w:val="en-US"/>
              </w:rPr>
              <w:t>Profesioniste dhe profesionistë të arsimit parauniversitar të trajnuar</w:t>
            </w:r>
          </w:p>
        </w:tc>
        <w:tc>
          <w:tcPr>
            <w:tcW w:w="2067" w:type="dxa"/>
            <w:gridSpan w:val="2"/>
            <w:shd w:val="clear" w:color="auto" w:fill="auto"/>
          </w:tcPr>
          <w:p w:rsidR="00BA6EFB" w:rsidRPr="0005701D" w:rsidRDefault="00BA6EFB" w:rsidP="00BA6EFB">
            <w:pPr>
              <w:jc w:val="center"/>
              <w:rPr>
                <w:b/>
                <w:bCs/>
                <w:i/>
                <w:sz w:val="22"/>
                <w:szCs w:val="22"/>
                <w:lang w:val="en-US"/>
              </w:rPr>
            </w:pPr>
            <w:r>
              <w:rPr>
                <w:b/>
                <w:i/>
                <w:iCs/>
                <w:sz w:val="22"/>
                <w:szCs w:val="22"/>
              </w:rPr>
              <w:t>ZVAP</w:t>
            </w:r>
            <w:r w:rsidRPr="0005701D">
              <w:rPr>
                <w:b/>
                <w:i/>
                <w:iCs/>
                <w:sz w:val="22"/>
                <w:szCs w:val="22"/>
              </w:rPr>
              <w:t xml:space="preserve"> </w:t>
            </w:r>
          </w:p>
        </w:tc>
        <w:tc>
          <w:tcPr>
            <w:tcW w:w="2520" w:type="dxa"/>
            <w:gridSpan w:val="2"/>
          </w:tcPr>
          <w:p w:rsidR="00BA6EFB" w:rsidRPr="0005701D" w:rsidRDefault="00BC622C" w:rsidP="00BA6EFB">
            <w:pPr>
              <w:jc w:val="center"/>
              <w:rPr>
                <w:bCs/>
                <w:i/>
                <w:sz w:val="22"/>
                <w:szCs w:val="22"/>
                <w:lang w:val="en-US"/>
              </w:rPr>
            </w:pPr>
            <w:r>
              <w:rPr>
                <w:i/>
                <w:iCs/>
                <w:sz w:val="22"/>
                <w:szCs w:val="22"/>
              </w:rPr>
              <w:t xml:space="preserve">MASR, </w:t>
            </w:r>
            <w:r w:rsidR="00BA6EFB" w:rsidRPr="0005701D">
              <w:rPr>
                <w:i/>
                <w:iCs/>
                <w:sz w:val="22"/>
                <w:szCs w:val="22"/>
              </w:rPr>
              <w:t>MSHMS, KMD, OJF, org. nd</w:t>
            </w:r>
            <w:r w:rsidR="00BA6EFB">
              <w:rPr>
                <w:i/>
                <w:iCs/>
                <w:sz w:val="22"/>
                <w:szCs w:val="22"/>
              </w:rPr>
              <w:t>ë</w:t>
            </w:r>
            <w:r w:rsidR="00BA6EFB" w:rsidRPr="0005701D">
              <w:rPr>
                <w:i/>
                <w:iCs/>
                <w:sz w:val="22"/>
                <w:szCs w:val="22"/>
              </w:rPr>
              <w:t>rkomb</w:t>
            </w:r>
            <w:r w:rsidR="00BA6EFB">
              <w:rPr>
                <w:i/>
                <w:iCs/>
                <w:sz w:val="22"/>
                <w:szCs w:val="22"/>
              </w:rPr>
              <w:t>ë</w:t>
            </w:r>
            <w:r w:rsidR="00BA6EFB" w:rsidRPr="0005701D">
              <w:rPr>
                <w:i/>
                <w:iCs/>
                <w:sz w:val="22"/>
                <w:szCs w:val="22"/>
              </w:rPr>
              <w:t>tare</w:t>
            </w:r>
            <w:r w:rsidR="00BA6EFB" w:rsidRPr="0005701D" w:rsidDel="008C1AE4">
              <w:rPr>
                <w:i/>
                <w:iCs/>
                <w:sz w:val="22"/>
                <w:szCs w:val="22"/>
              </w:rPr>
              <w:t xml:space="preserve"> </w:t>
            </w:r>
          </w:p>
        </w:tc>
        <w:tc>
          <w:tcPr>
            <w:tcW w:w="1765" w:type="dxa"/>
            <w:shd w:val="clear" w:color="auto" w:fill="auto"/>
          </w:tcPr>
          <w:p w:rsidR="00BA6EFB" w:rsidRPr="00BD4B41" w:rsidRDefault="00BA6EFB" w:rsidP="00BA6EFB">
            <w:pPr>
              <w:jc w:val="center"/>
              <w:rPr>
                <w:i/>
                <w:sz w:val="22"/>
                <w:szCs w:val="22"/>
              </w:rPr>
            </w:pPr>
            <w:r w:rsidRPr="00BD4B41">
              <w:rPr>
                <w:i/>
                <w:sz w:val="22"/>
                <w:szCs w:val="22"/>
              </w:rPr>
              <w:t>6-M-</w:t>
            </w:r>
            <w:r>
              <w:rPr>
                <w:i/>
                <w:sz w:val="22"/>
                <w:szCs w:val="22"/>
              </w:rPr>
              <w:t>I 2023</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05701D" w:rsidRDefault="00BA6EFB" w:rsidP="00BA6EFB">
            <w:pPr>
              <w:jc w:val="center"/>
              <w:rPr>
                <w:i/>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A6EFB" w:rsidRPr="00265B92" w:rsidTr="00BA6EFB">
        <w:tc>
          <w:tcPr>
            <w:tcW w:w="9375" w:type="dxa"/>
            <w:gridSpan w:val="6"/>
            <w:shd w:val="clear" w:color="auto" w:fill="EAF1DD" w:themeFill="accent3" w:themeFillTint="33"/>
          </w:tcPr>
          <w:p w:rsidR="00BA6EFB" w:rsidRPr="0005701D" w:rsidRDefault="00BA6EFB" w:rsidP="0005701D">
            <w:pPr>
              <w:ind w:left="28" w:hanging="28"/>
              <w:jc w:val="both"/>
              <w:rPr>
                <w:b/>
                <w:bCs/>
                <w:sz w:val="22"/>
                <w:szCs w:val="22"/>
                <w:lang w:val="en-US"/>
              </w:rPr>
            </w:pPr>
            <w:r w:rsidRPr="0005701D">
              <w:rPr>
                <w:b/>
                <w:sz w:val="22"/>
                <w:szCs w:val="22"/>
                <w:lang w:val="en-US"/>
              </w:rPr>
              <w:t>I.2.2</w:t>
            </w:r>
            <w:r w:rsidRPr="0005701D">
              <w:rPr>
                <w:bCs/>
                <w:sz w:val="22"/>
                <w:szCs w:val="22"/>
              </w:rPr>
              <w:t>.</w:t>
            </w:r>
            <w:r>
              <w:rPr>
                <w:b/>
              </w:rPr>
              <w:t xml:space="preserve"> Përgatitja e një brezi të ri profesionistesh e profesionistësh me njohuritë e duhura mbi çështjet LGBTI+ dhe repektimin e të drejtave njerëzore të personave LGBTI+  </w:t>
            </w:r>
          </w:p>
        </w:tc>
        <w:tc>
          <w:tcPr>
            <w:tcW w:w="2067" w:type="dxa"/>
            <w:gridSpan w:val="2"/>
            <w:shd w:val="clear" w:color="auto" w:fill="EAF1DD" w:themeFill="accent3" w:themeFillTint="33"/>
          </w:tcPr>
          <w:p w:rsidR="00BA6EFB" w:rsidRPr="0005701D" w:rsidRDefault="00BA6EFB" w:rsidP="00BA6EFB">
            <w:pPr>
              <w:jc w:val="center"/>
              <w:rPr>
                <w:b/>
                <w:bCs/>
                <w:sz w:val="22"/>
                <w:szCs w:val="22"/>
                <w:lang w:val="en-US"/>
              </w:rPr>
            </w:pPr>
            <w:r>
              <w:rPr>
                <w:rFonts w:eastAsia="Times New Roman"/>
                <w:b/>
                <w:bCs/>
                <w:color w:val="000000"/>
                <w:sz w:val="22"/>
                <w:szCs w:val="22"/>
                <w:lang w:val="en-GB" w:eastAsia="en-GB"/>
              </w:rPr>
              <w:t>IAL</w:t>
            </w:r>
          </w:p>
        </w:tc>
        <w:tc>
          <w:tcPr>
            <w:tcW w:w="2520" w:type="dxa"/>
            <w:gridSpan w:val="2"/>
            <w:shd w:val="clear" w:color="auto" w:fill="EAF1DD" w:themeFill="accent3" w:themeFillTint="33"/>
          </w:tcPr>
          <w:p w:rsidR="00BA6EFB" w:rsidRPr="0005701D" w:rsidRDefault="00BA6EFB" w:rsidP="00BA6EFB">
            <w:pPr>
              <w:jc w:val="center"/>
              <w:rPr>
                <w:b/>
                <w:bCs/>
                <w:sz w:val="22"/>
                <w:szCs w:val="22"/>
                <w:lang w:val="en-US"/>
              </w:rPr>
            </w:pPr>
            <w:r w:rsidRPr="0005701D">
              <w:rPr>
                <w:rFonts w:eastAsia="Times New Roman"/>
                <w:b/>
                <w:bCs/>
                <w:color w:val="000000"/>
                <w:sz w:val="22"/>
                <w:szCs w:val="22"/>
                <w:lang w:val="en-GB" w:eastAsia="en-GB"/>
              </w:rPr>
              <w:t xml:space="preserve">MASR, </w:t>
            </w:r>
            <w:r>
              <w:rPr>
                <w:rFonts w:eastAsia="Times New Roman"/>
                <w:b/>
                <w:bCs/>
                <w:color w:val="000000"/>
                <w:sz w:val="22"/>
                <w:szCs w:val="22"/>
                <w:lang w:val="en-GB" w:eastAsia="en-GB"/>
              </w:rPr>
              <w:t>NJVV, MSHMS, OJF, Org.ndërkombëtare</w:t>
            </w:r>
          </w:p>
        </w:tc>
        <w:tc>
          <w:tcPr>
            <w:tcW w:w="1765" w:type="dxa"/>
            <w:shd w:val="clear" w:color="auto" w:fill="EAF1DD" w:themeFill="accent3" w:themeFillTint="33"/>
          </w:tcPr>
          <w:p w:rsidR="00BA6EFB" w:rsidRPr="00BE000A" w:rsidRDefault="00BA6EFB" w:rsidP="00BA6EFB">
            <w:pPr>
              <w:jc w:val="center"/>
              <w:rPr>
                <w:b/>
                <w:i/>
                <w:sz w:val="22"/>
                <w:szCs w:val="22"/>
              </w:rPr>
            </w:pPr>
            <w:r w:rsidRPr="00BE000A">
              <w:rPr>
                <w:b/>
                <w:i/>
                <w:sz w:val="22"/>
                <w:szCs w:val="22"/>
              </w:rPr>
              <w:t xml:space="preserve">6-M-II 2022 </w:t>
            </w:r>
          </w:p>
          <w:p w:rsidR="00BA6EFB" w:rsidRPr="00BE000A" w:rsidRDefault="00BA6EFB" w:rsidP="00BA6EFB">
            <w:pPr>
              <w:jc w:val="center"/>
              <w:rPr>
                <w:b/>
                <w:i/>
                <w:sz w:val="22"/>
                <w:szCs w:val="22"/>
              </w:rPr>
            </w:pPr>
            <w:r w:rsidRPr="00BE000A">
              <w:rPr>
                <w:b/>
                <w:i/>
                <w:sz w:val="22"/>
                <w:szCs w:val="22"/>
              </w:rPr>
              <w:t xml:space="preserve">– </w:t>
            </w:r>
          </w:p>
          <w:p w:rsidR="00BA6EFB" w:rsidRPr="0005701D" w:rsidRDefault="00BA6EFB" w:rsidP="00BA6EFB">
            <w:pPr>
              <w:jc w:val="center"/>
              <w:rPr>
                <w:b/>
                <w:sz w:val="22"/>
                <w:szCs w:val="22"/>
                <w:lang w:val="en-US"/>
              </w:rPr>
            </w:pPr>
            <w:r w:rsidRPr="00BE000A">
              <w:rPr>
                <w:b/>
                <w:i/>
                <w:sz w:val="22"/>
                <w:szCs w:val="22"/>
              </w:rPr>
              <w:t>6-M-II 2027</w:t>
            </w:r>
          </w:p>
        </w:tc>
      </w:tr>
      <w:tr w:rsidR="00BA6EFB" w:rsidRPr="00265B92" w:rsidTr="00BA6EFB">
        <w:tc>
          <w:tcPr>
            <w:tcW w:w="7308" w:type="dxa"/>
            <w:gridSpan w:val="5"/>
            <w:shd w:val="clear" w:color="auto" w:fill="auto"/>
          </w:tcPr>
          <w:p w:rsidR="00BA6EFB" w:rsidRPr="0005701D" w:rsidRDefault="00BA6EFB" w:rsidP="00BA6EFB">
            <w:pPr>
              <w:jc w:val="both"/>
              <w:rPr>
                <w:i/>
                <w:sz w:val="22"/>
                <w:szCs w:val="22"/>
                <w:lang w:val="en-US"/>
              </w:rPr>
            </w:pPr>
            <w:r w:rsidRPr="0005701D">
              <w:rPr>
                <w:i/>
                <w:sz w:val="22"/>
                <w:szCs w:val="22"/>
                <w:lang w:val="en-US"/>
              </w:rPr>
              <w:t xml:space="preserve">I.2.2.a. </w:t>
            </w:r>
            <w:r w:rsidRPr="006E63C2">
              <w:rPr>
                <w:i/>
                <w:lang w:val="en-US"/>
              </w:rPr>
              <w:t>Përfshirja</w:t>
            </w:r>
            <w:r>
              <w:rPr>
                <w:i/>
                <w:lang w:val="en-US"/>
              </w:rPr>
              <w:t xml:space="preserve"> </w:t>
            </w:r>
            <w:r w:rsidRPr="006E63C2">
              <w:rPr>
                <w:i/>
                <w:lang w:val="en-US"/>
              </w:rPr>
              <w:t>në</w:t>
            </w:r>
            <w:r>
              <w:rPr>
                <w:i/>
                <w:lang w:val="en-US"/>
              </w:rPr>
              <w:t xml:space="preserve"> </w:t>
            </w:r>
            <w:r w:rsidRPr="006E63C2">
              <w:rPr>
                <w:i/>
                <w:lang w:val="en-US"/>
              </w:rPr>
              <w:t>kurrikulat</w:t>
            </w:r>
            <w:r>
              <w:rPr>
                <w:i/>
                <w:lang w:val="en-US"/>
              </w:rPr>
              <w:t xml:space="preserve"> </w:t>
            </w:r>
            <w:r w:rsidRPr="006E63C2">
              <w:rPr>
                <w:i/>
                <w:lang w:val="en-US"/>
              </w:rPr>
              <w:t>universitare</w:t>
            </w:r>
            <w:r>
              <w:rPr>
                <w:i/>
                <w:lang w:val="en-US"/>
              </w:rPr>
              <w:t xml:space="preserve"> </w:t>
            </w:r>
            <w:r w:rsidRPr="006E63C2">
              <w:rPr>
                <w:i/>
                <w:lang w:val="en-US"/>
              </w:rPr>
              <w:t>/</w:t>
            </w:r>
            <w:r>
              <w:rPr>
                <w:i/>
                <w:lang w:val="en-US"/>
              </w:rPr>
              <w:t xml:space="preserve"> </w:t>
            </w:r>
            <w:r w:rsidRPr="006E63C2">
              <w:rPr>
                <w:i/>
                <w:lang w:val="en-US"/>
              </w:rPr>
              <w:t>pas universitare</w:t>
            </w:r>
            <w:r>
              <w:rPr>
                <w:i/>
                <w:lang w:val="en-US"/>
              </w:rPr>
              <w:t xml:space="preserve"> </w:t>
            </w:r>
            <w:r w:rsidRPr="006E63C2">
              <w:rPr>
                <w:i/>
                <w:lang w:val="en-US"/>
              </w:rPr>
              <w:t>të</w:t>
            </w:r>
            <w:r>
              <w:rPr>
                <w:i/>
                <w:lang w:val="en-US"/>
              </w:rPr>
              <w:t xml:space="preserve"> </w:t>
            </w:r>
            <w:r w:rsidRPr="006E63C2">
              <w:rPr>
                <w:i/>
                <w:lang w:val="en-US"/>
              </w:rPr>
              <w:t>shkencave</w:t>
            </w:r>
            <w:r>
              <w:rPr>
                <w:i/>
                <w:lang w:val="en-US"/>
              </w:rPr>
              <w:t xml:space="preserve"> </w:t>
            </w:r>
            <w:r w:rsidRPr="006E63C2">
              <w:rPr>
                <w:i/>
                <w:lang w:val="en-US"/>
              </w:rPr>
              <w:t>sociale</w:t>
            </w:r>
            <w:r>
              <w:rPr>
                <w:i/>
                <w:lang w:val="en-US"/>
              </w:rPr>
              <w:t>, i moduleve mbi çështjet dhe të drejtat e personave LGBTI+</w:t>
            </w:r>
          </w:p>
        </w:tc>
        <w:tc>
          <w:tcPr>
            <w:tcW w:w="2067" w:type="dxa"/>
          </w:tcPr>
          <w:p w:rsidR="00BA6EFB" w:rsidRPr="0005701D" w:rsidRDefault="00BA6EFB" w:rsidP="00BA6EFB">
            <w:pPr>
              <w:jc w:val="center"/>
              <w:rPr>
                <w:bCs/>
                <w:i/>
                <w:sz w:val="22"/>
                <w:szCs w:val="22"/>
                <w:lang w:val="en-US"/>
              </w:rPr>
            </w:pPr>
            <w:r>
              <w:rPr>
                <w:bCs/>
                <w:i/>
                <w:sz w:val="22"/>
                <w:szCs w:val="22"/>
                <w:lang w:val="en-US"/>
              </w:rPr>
              <w:t>Kurrikula e përmirësuar</w:t>
            </w:r>
          </w:p>
        </w:tc>
        <w:tc>
          <w:tcPr>
            <w:tcW w:w="2067" w:type="dxa"/>
            <w:gridSpan w:val="2"/>
            <w:shd w:val="clear" w:color="auto" w:fill="auto"/>
          </w:tcPr>
          <w:p w:rsidR="00BA6EFB" w:rsidRPr="00BE000A" w:rsidRDefault="00BA6EFB" w:rsidP="00BA6EFB">
            <w:pPr>
              <w:jc w:val="center"/>
              <w:rPr>
                <w:bCs/>
                <w:i/>
                <w:sz w:val="22"/>
                <w:szCs w:val="22"/>
                <w:lang w:val="en-US"/>
              </w:rPr>
            </w:pPr>
            <w:r w:rsidRPr="00BE000A">
              <w:rPr>
                <w:rFonts w:eastAsia="Times New Roman"/>
                <w:bCs/>
                <w:i/>
                <w:iCs/>
                <w:color w:val="000000"/>
                <w:sz w:val="22"/>
                <w:szCs w:val="22"/>
                <w:lang w:val="en-GB" w:eastAsia="en-GB"/>
              </w:rPr>
              <w:t xml:space="preserve">FSHS </w:t>
            </w:r>
          </w:p>
        </w:tc>
        <w:tc>
          <w:tcPr>
            <w:tcW w:w="2520" w:type="dxa"/>
            <w:gridSpan w:val="2"/>
          </w:tcPr>
          <w:p w:rsidR="00BA6EFB" w:rsidRPr="00B76F9A" w:rsidRDefault="00BA6EFB" w:rsidP="00BA6EFB">
            <w:pPr>
              <w:jc w:val="center"/>
              <w:rPr>
                <w:bCs/>
                <w:i/>
                <w:sz w:val="22"/>
                <w:szCs w:val="22"/>
                <w:lang w:val="en-US"/>
              </w:rPr>
            </w:pPr>
            <w:r w:rsidRPr="00BE000A">
              <w:rPr>
                <w:rFonts w:eastAsia="Times New Roman"/>
                <w:bCs/>
                <w:i/>
                <w:iCs/>
                <w:color w:val="000000"/>
                <w:sz w:val="22"/>
                <w:szCs w:val="22"/>
                <w:lang w:val="en-GB" w:eastAsia="en-GB"/>
              </w:rPr>
              <w:t>MASR, MSHMS,</w:t>
            </w:r>
            <w:r w:rsidRPr="00BE000A">
              <w:rPr>
                <w:rFonts w:eastAsia="Times New Roman"/>
                <w:bCs/>
                <w:color w:val="000000"/>
                <w:sz w:val="22"/>
                <w:szCs w:val="22"/>
                <w:lang w:val="en-GB" w:eastAsia="en-GB"/>
              </w:rPr>
              <w:t xml:space="preserve"> OJF, Org.ndërkombëtare</w:t>
            </w:r>
          </w:p>
        </w:tc>
        <w:tc>
          <w:tcPr>
            <w:tcW w:w="1765" w:type="dxa"/>
          </w:tcPr>
          <w:p w:rsidR="00BA6EFB" w:rsidRPr="00BD4B41" w:rsidRDefault="00BA6EFB" w:rsidP="00BA6EFB">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05701D" w:rsidRDefault="00BA6EFB" w:rsidP="00BA6EFB">
            <w:pPr>
              <w:jc w:val="center"/>
              <w:rPr>
                <w:i/>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A6EFB" w:rsidRPr="00265B92" w:rsidTr="00BA6EFB">
        <w:tc>
          <w:tcPr>
            <w:tcW w:w="7308" w:type="dxa"/>
            <w:gridSpan w:val="5"/>
            <w:shd w:val="clear" w:color="auto" w:fill="auto"/>
          </w:tcPr>
          <w:p w:rsidR="00BA6EFB" w:rsidRPr="0005701D" w:rsidRDefault="00BA6EFB" w:rsidP="00BA6EFB">
            <w:pPr>
              <w:jc w:val="both"/>
              <w:rPr>
                <w:i/>
                <w:sz w:val="22"/>
                <w:szCs w:val="22"/>
              </w:rPr>
            </w:pPr>
            <w:r w:rsidRPr="0005701D">
              <w:rPr>
                <w:i/>
                <w:sz w:val="22"/>
                <w:szCs w:val="22"/>
              </w:rPr>
              <w:lastRenderedPageBreak/>
              <w:t>I.2.2.</w:t>
            </w:r>
            <w:r>
              <w:rPr>
                <w:i/>
                <w:sz w:val="22"/>
                <w:szCs w:val="22"/>
              </w:rPr>
              <w:t>b</w:t>
            </w:r>
            <w:r w:rsidRPr="0005701D">
              <w:rPr>
                <w:i/>
                <w:sz w:val="22"/>
                <w:szCs w:val="22"/>
              </w:rPr>
              <w:t xml:space="preserve">. </w:t>
            </w:r>
            <w:r w:rsidRPr="006E63C2">
              <w:rPr>
                <w:i/>
                <w:lang w:val="en-US"/>
              </w:rPr>
              <w:t>Përfshirja</w:t>
            </w:r>
            <w:r>
              <w:rPr>
                <w:i/>
                <w:lang w:val="en-US"/>
              </w:rPr>
              <w:t xml:space="preserve"> </w:t>
            </w:r>
            <w:r w:rsidRPr="006E63C2">
              <w:rPr>
                <w:i/>
                <w:lang w:val="en-US"/>
              </w:rPr>
              <w:t>në</w:t>
            </w:r>
            <w:r>
              <w:rPr>
                <w:i/>
                <w:lang w:val="en-US"/>
              </w:rPr>
              <w:t xml:space="preserve"> </w:t>
            </w:r>
            <w:r w:rsidRPr="006E63C2">
              <w:rPr>
                <w:i/>
                <w:lang w:val="en-US"/>
              </w:rPr>
              <w:t>kurrikulat</w:t>
            </w:r>
            <w:r>
              <w:rPr>
                <w:i/>
                <w:lang w:val="en-US"/>
              </w:rPr>
              <w:t xml:space="preserve"> </w:t>
            </w:r>
            <w:r w:rsidRPr="006E63C2">
              <w:rPr>
                <w:i/>
                <w:lang w:val="en-US"/>
              </w:rPr>
              <w:t>universitare</w:t>
            </w:r>
            <w:r>
              <w:rPr>
                <w:i/>
                <w:lang w:val="en-US"/>
              </w:rPr>
              <w:t xml:space="preserve"> </w:t>
            </w:r>
            <w:r w:rsidRPr="006E63C2">
              <w:rPr>
                <w:i/>
                <w:lang w:val="en-US"/>
              </w:rPr>
              <w:t>/</w:t>
            </w:r>
            <w:r>
              <w:rPr>
                <w:i/>
                <w:lang w:val="en-US"/>
              </w:rPr>
              <w:t xml:space="preserve"> </w:t>
            </w:r>
            <w:r w:rsidRPr="006E63C2">
              <w:rPr>
                <w:i/>
                <w:lang w:val="en-US"/>
              </w:rPr>
              <w:t>pas universitare</w:t>
            </w:r>
            <w:r>
              <w:rPr>
                <w:i/>
                <w:lang w:val="en-US"/>
              </w:rPr>
              <w:t xml:space="preserve"> </w:t>
            </w:r>
            <w:r w:rsidRPr="006E63C2">
              <w:rPr>
                <w:i/>
                <w:lang w:val="en-US"/>
              </w:rPr>
              <w:t>të</w:t>
            </w:r>
            <w:r>
              <w:rPr>
                <w:i/>
                <w:lang w:val="en-US"/>
              </w:rPr>
              <w:t xml:space="preserve"> </w:t>
            </w:r>
            <w:r w:rsidRPr="006E63C2">
              <w:rPr>
                <w:i/>
                <w:lang w:val="en-US"/>
              </w:rPr>
              <w:t>shkencave</w:t>
            </w:r>
            <w:r>
              <w:rPr>
                <w:i/>
                <w:lang w:val="en-US"/>
              </w:rPr>
              <w:t xml:space="preserve"> të edukimit i moduleve mbi çështjet dhe të drejtat e personave LGBTI+</w:t>
            </w:r>
          </w:p>
        </w:tc>
        <w:tc>
          <w:tcPr>
            <w:tcW w:w="2067" w:type="dxa"/>
          </w:tcPr>
          <w:p w:rsidR="00BA6EFB" w:rsidRPr="0005701D" w:rsidRDefault="00BA6EFB" w:rsidP="00BA6EFB">
            <w:pPr>
              <w:jc w:val="center"/>
              <w:rPr>
                <w:bCs/>
                <w:i/>
                <w:sz w:val="22"/>
                <w:szCs w:val="22"/>
                <w:lang w:val="en-US"/>
              </w:rPr>
            </w:pPr>
            <w:r>
              <w:rPr>
                <w:bCs/>
                <w:i/>
                <w:sz w:val="22"/>
                <w:szCs w:val="22"/>
                <w:lang w:val="en-US"/>
              </w:rPr>
              <w:t>Kurrikula e përmirësuar</w:t>
            </w:r>
          </w:p>
        </w:tc>
        <w:tc>
          <w:tcPr>
            <w:tcW w:w="2067" w:type="dxa"/>
            <w:gridSpan w:val="2"/>
            <w:shd w:val="clear" w:color="auto" w:fill="auto"/>
          </w:tcPr>
          <w:p w:rsidR="00BA6EFB" w:rsidRPr="00BE000A" w:rsidRDefault="00BA6EFB" w:rsidP="00BA6EFB">
            <w:pPr>
              <w:jc w:val="center"/>
              <w:rPr>
                <w:i/>
                <w:iCs/>
                <w:sz w:val="22"/>
                <w:szCs w:val="22"/>
                <w:lang w:val="en-US"/>
              </w:rPr>
            </w:pPr>
            <w:r w:rsidRPr="00BE000A">
              <w:rPr>
                <w:rFonts w:eastAsia="Times New Roman"/>
                <w:bCs/>
                <w:i/>
                <w:iCs/>
                <w:color w:val="000000"/>
                <w:sz w:val="22"/>
                <w:szCs w:val="22"/>
                <w:lang w:val="en-GB" w:eastAsia="en-GB"/>
              </w:rPr>
              <w:t>Fakulteti Filologjik</w:t>
            </w:r>
          </w:p>
        </w:tc>
        <w:tc>
          <w:tcPr>
            <w:tcW w:w="2520" w:type="dxa"/>
            <w:gridSpan w:val="2"/>
          </w:tcPr>
          <w:p w:rsidR="00BA6EFB" w:rsidRPr="00B76F9A" w:rsidRDefault="00BA6EFB" w:rsidP="00BA6EFB">
            <w:pPr>
              <w:jc w:val="center"/>
              <w:rPr>
                <w:i/>
                <w:sz w:val="22"/>
                <w:szCs w:val="22"/>
                <w:lang w:val="en-US"/>
              </w:rPr>
            </w:pPr>
            <w:r w:rsidRPr="00BE000A">
              <w:rPr>
                <w:rFonts w:eastAsia="Times New Roman"/>
                <w:bCs/>
                <w:i/>
                <w:iCs/>
                <w:color w:val="000000"/>
                <w:sz w:val="22"/>
                <w:szCs w:val="22"/>
                <w:lang w:val="en-GB" w:eastAsia="en-GB"/>
              </w:rPr>
              <w:t>MASR, MSHMS,</w:t>
            </w:r>
            <w:r w:rsidRPr="00BE000A">
              <w:rPr>
                <w:rFonts w:eastAsia="Times New Roman"/>
                <w:bCs/>
                <w:color w:val="000000"/>
                <w:sz w:val="22"/>
                <w:szCs w:val="22"/>
                <w:lang w:val="en-GB" w:eastAsia="en-GB"/>
              </w:rPr>
              <w:t xml:space="preserve"> OJF, Org.ndërkombëtare</w:t>
            </w:r>
          </w:p>
        </w:tc>
        <w:tc>
          <w:tcPr>
            <w:tcW w:w="1765" w:type="dxa"/>
          </w:tcPr>
          <w:p w:rsidR="00BA6EFB" w:rsidRPr="00BD4B41" w:rsidRDefault="00BA6EFB" w:rsidP="00BA6EFB">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05701D" w:rsidRDefault="00BA6EFB" w:rsidP="00BA6EFB">
            <w:pPr>
              <w:jc w:val="center"/>
              <w:rPr>
                <w:i/>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A6EFB" w:rsidRPr="00265B92" w:rsidTr="00BA6EFB">
        <w:tc>
          <w:tcPr>
            <w:tcW w:w="7308" w:type="dxa"/>
            <w:gridSpan w:val="5"/>
            <w:shd w:val="clear" w:color="auto" w:fill="auto"/>
          </w:tcPr>
          <w:p w:rsidR="00BA6EFB" w:rsidRPr="0005701D" w:rsidRDefault="00BA6EFB" w:rsidP="00BA6EFB">
            <w:pPr>
              <w:jc w:val="both"/>
              <w:rPr>
                <w:i/>
                <w:sz w:val="22"/>
                <w:szCs w:val="22"/>
              </w:rPr>
            </w:pPr>
            <w:r w:rsidRPr="0005701D">
              <w:rPr>
                <w:i/>
                <w:sz w:val="22"/>
                <w:szCs w:val="22"/>
              </w:rPr>
              <w:t>I.2.</w:t>
            </w:r>
            <w:r>
              <w:rPr>
                <w:i/>
                <w:sz w:val="22"/>
                <w:szCs w:val="22"/>
              </w:rPr>
              <w:t>2.c</w:t>
            </w:r>
            <w:r w:rsidRPr="0005701D">
              <w:rPr>
                <w:i/>
                <w:sz w:val="22"/>
                <w:szCs w:val="22"/>
              </w:rPr>
              <w:t xml:space="preserve">. </w:t>
            </w:r>
            <w:r w:rsidRPr="006E63C2">
              <w:rPr>
                <w:i/>
                <w:lang w:val="en-US"/>
              </w:rPr>
              <w:t>Përfshirja</w:t>
            </w:r>
            <w:r>
              <w:rPr>
                <w:i/>
                <w:lang w:val="en-US"/>
              </w:rPr>
              <w:t xml:space="preserve"> </w:t>
            </w:r>
            <w:r w:rsidRPr="006E63C2">
              <w:rPr>
                <w:i/>
                <w:lang w:val="en-US"/>
              </w:rPr>
              <w:t>në</w:t>
            </w:r>
            <w:r>
              <w:rPr>
                <w:i/>
                <w:lang w:val="en-US"/>
              </w:rPr>
              <w:t xml:space="preserve"> </w:t>
            </w:r>
            <w:r w:rsidRPr="006E63C2">
              <w:rPr>
                <w:i/>
                <w:lang w:val="en-US"/>
              </w:rPr>
              <w:t>kurrikulat</w:t>
            </w:r>
            <w:r>
              <w:rPr>
                <w:i/>
                <w:lang w:val="en-US"/>
              </w:rPr>
              <w:t xml:space="preserve"> </w:t>
            </w:r>
            <w:r w:rsidRPr="006E63C2">
              <w:rPr>
                <w:i/>
                <w:lang w:val="en-US"/>
              </w:rPr>
              <w:t>universitare</w:t>
            </w:r>
            <w:r>
              <w:rPr>
                <w:i/>
                <w:lang w:val="en-US"/>
              </w:rPr>
              <w:t xml:space="preserve"> </w:t>
            </w:r>
            <w:r w:rsidRPr="006E63C2">
              <w:rPr>
                <w:i/>
                <w:lang w:val="en-US"/>
              </w:rPr>
              <w:t>/</w:t>
            </w:r>
            <w:r>
              <w:rPr>
                <w:i/>
                <w:lang w:val="en-US"/>
              </w:rPr>
              <w:t xml:space="preserve"> </w:t>
            </w:r>
            <w:r w:rsidRPr="006E63C2">
              <w:rPr>
                <w:i/>
                <w:lang w:val="en-US"/>
              </w:rPr>
              <w:t>pas universitare</w:t>
            </w:r>
            <w:r>
              <w:rPr>
                <w:i/>
                <w:lang w:val="en-US"/>
              </w:rPr>
              <w:t xml:space="preserve"> </w:t>
            </w:r>
            <w:r w:rsidRPr="006E63C2">
              <w:rPr>
                <w:i/>
                <w:lang w:val="en-US"/>
              </w:rPr>
              <w:t>të</w:t>
            </w:r>
            <w:r>
              <w:rPr>
                <w:i/>
                <w:lang w:val="en-US"/>
              </w:rPr>
              <w:t xml:space="preserve"> drejtësisë i moduleve mbi çështjet dhe të drejtat e personave LGBTI+</w:t>
            </w:r>
          </w:p>
        </w:tc>
        <w:tc>
          <w:tcPr>
            <w:tcW w:w="2067" w:type="dxa"/>
          </w:tcPr>
          <w:p w:rsidR="00BA6EFB" w:rsidRPr="0005701D" w:rsidRDefault="00BA6EFB" w:rsidP="00BA6EFB">
            <w:pPr>
              <w:jc w:val="center"/>
              <w:rPr>
                <w:bCs/>
                <w:i/>
                <w:sz w:val="22"/>
                <w:szCs w:val="22"/>
                <w:lang w:val="en-US"/>
              </w:rPr>
            </w:pPr>
            <w:r>
              <w:rPr>
                <w:bCs/>
                <w:i/>
                <w:sz w:val="22"/>
                <w:szCs w:val="22"/>
                <w:lang w:val="en-US"/>
              </w:rPr>
              <w:t>Kurrikula e përmirësuar</w:t>
            </w:r>
          </w:p>
        </w:tc>
        <w:tc>
          <w:tcPr>
            <w:tcW w:w="2067" w:type="dxa"/>
            <w:gridSpan w:val="2"/>
            <w:shd w:val="clear" w:color="auto" w:fill="auto"/>
          </w:tcPr>
          <w:p w:rsidR="00BA6EFB" w:rsidRPr="00BE000A" w:rsidRDefault="00BA6EFB" w:rsidP="00BA6EFB">
            <w:pPr>
              <w:jc w:val="center"/>
              <w:rPr>
                <w:i/>
                <w:iCs/>
                <w:sz w:val="22"/>
                <w:szCs w:val="22"/>
                <w:lang w:val="en-US"/>
              </w:rPr>
            </w:pPr>
            <w:r w:rsidRPr="00BE000A">
              <w:rPr>
                <w:rFonts w:eastAsia="Times New Roman"/>
                <w:bCs/>
                <w:i/>
                <w:iCs/>
                <w:color w:val="000000"/>
                <w:sz w:val="22"/>
                <w:szCs w:val="22"/>
                <w:lang w:val="en-GB" w:eastAsia="en-GB"/>
              </w:rPr>
              <w:t>Fakulteti i Drejtësisë</w:t>
            </w:r>
          </w:p>
        </w:tc>
        <w:tc>
          <w:tcPr>
            <w:tcW w:w="2520" w:type="dxa"/>
            <w:gridSpan w:val="2"/>
          </w:tcPr>
          <w:p w:rsidR="00BA6EFB" w:rsidRPr="00B76F9A" w:rsidRDefault="00BA6EFB" w:rsidP="00BA6EFB">
            <w:pPr>
              <w:jc w:val="center"/>
              <w:rPr>
                <w:i/>
                <w:sz w:val="22"/>
                <w:szCs w:val="22"/>
                <w:lang w:val="en-US"/>
              </w:rPr>
            </w:pPr>
            <w:r w:rsidRPr="00BE000A">
              <w:rPr>
                <w:rFonts w:eastAsia="Times New Roman"/>
                <w:bCs/>
                <w:i/>
                <w:iCs/>
                <w:color w:val="000000"/>
                <w:sz w:val="22"/>
                <w:szCs w:val="22"/>
                <w:lang w:val="en-GB" w:eastAsia="en-GB"/>
              </w:rPr>
              <w:t>MASR, MSHMS,</w:t>
            </w:r>
            <w:r w:rsidRPr="00BE000A">
              <w:rPr>
                <w:rFonts w:eastAsia="Times New Roman"/>
                <w:bCs/>
                <w:color w:val="000000"/>
                <w:sz w:val="22"/>
                <w:szCs w:val="22"/>
                <w:lang w:val="en-GB" w:eastAsia="en-GB"/>
              </w:rPr>
              <w:t xml:space="preserve"> OJF, Org.ndërkombëtare</w:t>
            </w:r>
          </w:p>
        </w:tc>
        <w:tc>
          <w:tcPr>
            <w:tcW w:w="1765" w:type="dxa"/>
          </w:tcPr>
          <w:p w:rsidR="00BA6EFB" w:rsidRPr="00BD4B41" w:rsidRDefault="00BA6EFB" w:rsidP="00BA6EFB">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05701D" w:rsidRDefault="00BA6EFB" w:rsidP="00BA6EFB">
            <w:pPr>
              <w:jc w:val="center"/>
              <w:rPr>
                <w:i/>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A6EFB" w:rsidRPr="002051B9" w:rsidTr="00BA6EFB">
        <w:tc>
          <w:tcPr>
            <w:tcW w:w="7308" w:type="dxa"/>
            <w:gridSpan w:val="5"/>
            <w:shd w:val="clear" w:color="auto" w:fill="auto"/>
          </w:tcPr>
          <w:p w:rsidR="00BA6EFB" w:rsidRPr="002051B9" w:rsidRDefault="00BA6EFB" w:rsidP="00BA6EFB">
            <w:pPr>
              <w:jc w:val="both"/>
              <w:rPr>
                <w:i/>
                <w:sz w:val="22"/>
                <w:szCs w:val="22"/>
              </w:rPr>
            </w:pPr>
            <w:r>
              <w:rPr>
                <w:i/>
                <w:sz w:val="22"/>
                <w:szCs w:val="22"/>
              </w:rPr>
              <w:t xml:space="preserve">I.2.2.d. </w:t>
            </w:r>
            <w:r>
              <w:rPr>
                <w:i/>
                <w:lang w:val="en-US"/>
              </w:rPr>
              <w:t>Përfshirja e modulit mbi të drejtat dhe mbrojtjen e personave LGBTI+ në trajnimin fillestar dhe vazhdues me gjyqtarët e prokurorët</w:t>
            </w:r>
          </w:p>
        </w:tc>
        <w:tc>
          <w:tcPr>
            <w:tcW w:w="2067" w:type="dxa"/>
          </w:tcPr>
          <w:p w:rsidR="00BA6EFB" w:rsidRDefault="00BA6EFB" w:rsidP="00BA6EFB">
            <w:pPr>
              <w:jc w:val="center"/>
              <w:rPr>
                <w:bCs/>
                <w:i/>
                <w:sz w:val="22"/>
                <w:szCs w:val="22"/>
                <w:lang w:val="en-US"/>
              </w:rPr>
            </w:pPr>
            <w:r>
              <w:rPr>
                <w:bCs/>
                <w:i/>
                <w:sz w:val="22"/>
                <w:szCs w:val="22"/>
                <w:lang w:val="en-US"/>
              </w:rPr>
              <w:t>Kurrikula e përmirësuar</w:t>
            </w:r>
          </w:p>
        </w:tc>
        <w:tc>
          <w:tcPr>
            <w:tcW w:w="2067" w:type="dxa"/>
            <w:gridSpan w:val="2"/>
            <w:shd w:val="clear" w:color="auto" w:fill="auto"/>
          </w:tcPr>
          <w:p w:rsidR="00BA6EFB" w:rsidRPr="00BE000A" w:rsidRDefault="00BA6EFB" w:rsidP="00BA6EFB">
            <w:pPr>
              <w:jc w:val="center"/>
              <w:rPr>
                <w:rFonts w:eastAsia="Times New Roman"/>
                <w:bCs/>
                <w:i/>
                <w:iCs/>
                <w:color w:val="000000"/>
                <w:sz w:val="22"/>
                <w:szCs w:val="22"/>
                <w:lang w:val="en-GB" w:eastAsia="en-GB"/>
              </w:rPr>
            </w:pPr>
            <w:r w:rsidRPr="00BE000A">
              <w:rPr>
                <w:rFonts w:eastAsia="Times New Roman"/>
                <w:bCs/>
                <w:i/>
                <w:iCs/>
                <w:color w:val="000000"/>
                <w:sz w:val="22"/>
                <w:szCs w:val="22"/>
                <w:lang w:val="en-GB" w:eastAsia="en-GB"/>
              </w:rPr>
              <w:t>Shkolla e Magjistraturës</w:t>
            </w:r>
          </w:p>
        </w:tc>
        <w:tc>
          <w:tcPr>
            <w:tcW w:w="2520" w:type="dxa"/>
            <w:gridSpan w:val="2"/>
          </w:tcPr>
          <w:p w:rsidR="00BA6EFB" w:rsidRPr="00BE000A" w:rsidRDefault="00BA6EFB" w:rsidP="00BA6EFB">
            <w:pPr>
              <w:jc w:val="center"/>
              <w:rPr>
                <w:rFonts w:eastAsia="Times New Roman"/>
                <w:bCs/>
                <w:i/>
                <w:iCs/>
                <w:color w:val="000000"/>
                <w:sz w:val="22"/>
                <w:szCs w:val="22"/>
                <w:lang w:val="en-GB" w:eastAsia="en-GB"/>
              </w:rPr>
            </w:pPr>
            <w:r w:rsidRPr="00BE000A">
              <w:rPr>
                <w:rFonts w:eastAsia="Times New Roman"/>
                <w:bCs/>
                <w:i/>
                <w:iCs/>
                <w:color w:val="000000"/>
                <w:sz w:val="22"/>
                <w:szCs w:val="22"/>
                <w:lang w:val="en-GB" w:eastAsia="en-GB"/>
              </w:rPr>
              <w:t>MD, MSHMS,</w:t>
            </w:r>
            <w:r w:rsidRPr="00BE000A">
              <w:rPr>
                <w:rFonts w:eastAsia="Times New Roman"/>
                <w:bCs/>
                <w:color w:val="000000"/>
                <w:sz w:val="22"/>
                <w:szCs w:val="22"/>
                <w:lang w:val="en-GB" w:eastAsia="en-GB"/>
              </w:rPr>
              <w:t xml:space="preserve"> OJF, Org.ndërkombëtare</w:t>
            </w:r>
          </w:p>
        </w:tc>
        <w:tc>
          <w:tcPr>
            <w:tcW w:w="1765" w:type="dxa"/>
          </w:tcPr>
          <w:p w:rsidR="00BA6EFB" w:rsidRPr="00BD4B41" w:rsidRDefault="00BA6EFB" w:rsidP="00BA6EFB">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A6EFB" w:rsidRPr="002051B9" w:rsidTr="00BA6EFB">
        <w:tc>
          <w:tcPr>
            <w:tcW w:w="7308" w:type="dxa"/>
            <w:gridSpan w:val="5"/>
            <w:shd w:val="clear" w:color="auto" w:fill="auto"/>
          </w:tcPr>
          <w:p w:rsidR="00BA6EFB" w:rsidRPr="002051B9" w:rsidRDefault="00BA6EFB" w:rsidP="00BA6EFB">
            <w:pPr>
              <w:jc w:val="both"/>
              <w:rPr>
                <w:i/>
                <w:sz w:val="22"/>
                <w:szCs w:val="22"/>
              </w:rPr>
            </w:pPr>
            <w:r>
              <w:rPr>
                <w:i/>
                <w:sz w:val="22"/>
                <w:szCs w:val="22"/>
              </w:rPr>
              <w:t xml:space="preserve">I.2.2.e. </w:t>
            </w:r>
            <w:r w:rsidRPr="006E63C2">
              <w:rPr>
                <w:i/>
                <w:lang w:val="en-US"/>
              </w:rPr>
              <w:t>Përfshirja</w:t>
            </w:r>
            <w:r>
              <w:rPr>
                <w:i/>
                <w:lang w:val="en-US"/>
              </w:rPr>
              <w:t xml:space="preserve"> </w:t>
            </w:r>
            <w:r w:rsidRPr="006E63C2">
              <w:rPr>
                <w:i/>
                <w:lang w:val="en-US"/>
              </w:rPr>
              <w:t>në</w:t>
            </w:r>
            <w:r>
              <w:rPr>
                <w:i/>
                <w:lang w:val="en-US"/>
              </w:rPr>
              <w:t xml:space="preserve"> </w:t>
            </w:r>
            <w:r w:rsidRPr="006E63C2">
              <w:rPr>
                <w:i/>
                <w:lang w:val="en-US"/>
              </w:rPr>
              <w:t>kurrikulat</w:t>
            </w:r>
            <w:r>
              <w:rPr>
                <w:i/>
                <w:lang w:val="en-US"/>
              </w:rPr>
              <w:t xml:space="preserve"> </w:t>
            </w:r>
            <w:r w:rsidRPr="006E63C2">
              <w:rPr>
                <w:i/>
                <w:lang w:val="en-US"/>
              </w:rPr>
              <w:t>universitare</w:t>
            </w:r>
            <w:r>
              <w:rPr>
                <w:i/>
                <w:lang w:val="en-US"/>
              </w:rPr>
              <w:t xml:space="preserve"> </w:t>
            </w:r>
            <w:r w:rsidRPr="006E63C2">
              <w:rPr>
                <w:i/>
                <w:lang w:val="en-US"/>
              </w:rPr>
              <w:t>/</w:t>
            </w:r>
            <w:r>
              <w:rPr>
                <w:i/>
                <w:lang w:val="en-US"/>
              </w:rPr>
              <w:t xml:space="preserve"> </w:t>
            </w:r>
            <w:r w:rsidRPr="006E63C2">
              <w:rPr>
                <w:i/>
                <w:lang w:val="en-US"/>
              </w:rPr>
              <w:t>pas universitare</w:t>
            </w:r>
            <w:r>
              <w:rPr>
                <w:i/>
                <w:lang w:val="en-US"/>
              </w:rPr>
              <w:t xml:space="preserve"> </w:t>
            </w:r>
            <w:r w:rsidRPr="006E63C2">
              <w:rPr>
                <w:i/>
                <w:lang w:val="en-US"/>
              </w:rPr>
              <w:t>të</w:t>
            </w:r>
            <w:r>
              <w:rPr>
                <w:i/>
                <w:lang w:val="en-US"/>
              </w:rPr>
              <w:t xml:space="preserve"> policimit i moduleve mbi çështjet dhe të drejtat e personave LGBTI+</w:t>
            </w:r>
          </w:p>
        </w:tc>
        <w:tc>
          <w:tcPr>
            <w:tcW w:w="2067" w:type="dxa"/>
          </w:tcPr>
          <w:p w:rsidR="00BA6EFB" w:rsidRDefault="00BA6EFB" w:rsidP="00BA6EFB">
            <w:pPr>
              <w:jc w:val="center"/>
              <w:rPr>
                <w:bCs/>
                <w:i/>
                <w:sz w:val="22"/>
                <w:szCs w:val="22"/>
                <w:lang w:val="en-US"/>
              </w:rPr>
            </w:pPr>
            <w:r>
              <w:rPr>
                <w:bCs/>
                <w:i/>
                <w:sz w:val="22"/>
                <w:szCs w:val="22"/>
                <w:lang w:val="en-US"/>
              </w:rPr>
              <w:t>Kurrikula e përmirësuar</w:t>
            </w:r>
          </w:p>
        </w:tc>
        <w:tc>
          <w:tcPr>
            <w:tcW w:w="2067" w:type="dxa"/>
            <w:gridSpan w:val="2"/>
            <w:shd w:val="clear" w:color="auto" w:fill="auto"/>
          </w:tcPr>
          <w:p w:rsidR="00BA6EFB" w:rsidRPr="00BE000A" w:rsidRDefault="00BA6EFB" w:rsidP="00BA6EFB">
            <w:pPr>
              <w:jc w:val="center"/>
              <w:rPr>
                <w:rFonts w:eastAsia="Times New Roman"/>
                <w:bCs/>
                <w:i/>
                <w:iCs/>
                <w:color w:val="000000"/>
                <w:sz w:val="22"/>
                <w:szCs w:val="22"/>
                <w:lang w:val="en-GB" w:eastAsia="en-GB"/>
              </w:rPr>
            </w:pPr>
            <w:r w:rsidRPr="00BE000A">
              <w:rPr>
                <w:rFonts w:eastAsia="Times New Roman"/>
                <w:bCs/>
                <w:i/>
                <w:iCs/>
                <w:color w:val="000000"/>
                <w:sz w:val="22"/>
                <w:szCs w:val="22"/>
                <w:lang w:val="en-GB" w:eastAsia="en-GB"/>
              </w:rPr>
              <w:t>Akademia e Sigurisë</w:t>
            </w:r>
          </w:p>
        </w:tc>
        <w:tc>
          <w:tcPr>
            <w:tcW w:w="2520" w:type="dxa"/>
            <w:gridSpan w:val="2"/>
          </w:tcPr>
          <w:p w:rsidR="00BA6EFB" w:rsidRPr="00BE000A" w:rsidRDefault="00BA6EFB" w:rsidP="00BA6EFB">
            <w:pPr>
              <w:jc w:val="center"/>
              <w:rPr>
                <w:rFonts w:eastAsia="Times New Roman"/>
                <w:bCs/>
                <w:i/>
                <w:iCs/>
                <w:color w:val="000000"/>
                <w:sz w:val="22"/>
                <w:szCs w:val="22"/>
                <w:lang w:val="en-GB" w:eastAsia="en-GB"/>
              </w:rPr>
            </w:pPr>
            <w:r w:rsidRPr="00BE000A">
              <w:rPr>
                <w:rFonts w:eastAsia="Times New Roman"/>
                <w:bCs/>
                <w:i/>
                <w:iCs/>
                <w:color w:val="000000"/>
                <w:sz w:val="22"/>
                <w:szCs w:val="22"/>
                <w:lang w:val="en-GB" w:eastAsia="en-GB"/>
              </w:rPr>
              <w:t>MB/PSHSH, MSHMS,</w:t>
            </w:r>
            <w:r w:rsidRPr="00BE000A">
              <w:rPr>
                <w:rFonts w:eastAsia="Times New Roman"/>
                <w:bCs/>
                <w:color w:val="000000"/>
                <w:sz w:val="22"/>
                <w:szCs w:val="22"/>
                <w:lang w:val="en-GB" w:eastAsia="en-GB"/>
              </w:rPr>
              <w:t xml:space="preserve"> OJF, Org.ndërkombëtare</w:t>
            </w:r>
          </w:p>
        </w:tc>
        <w:tc>
          <w:tcPr>
            <w:tcW w:w="1765" w:type="dxa"/>
          </w:tcPr>
          <w:p w:rsidR="00BA6EFB" w:rsidRPr="00BD4B41" w:rsidRDefault="00BA6EFB" w:rsidP="00BA6EFB">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 xml:space="preserve">– </w:t>
            </w:r>
          </w:p>
          <w:p w:rsidR="00BA6EFB" w:rsidRPr="00BD4B41" w:rsidRDefault="00BA6EFB" w:rsidP="00BA6EFB">
            <w:pPr>
              <w:jc w:val="center"/>
              <w:rPr>
                <w:i/>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76F9A" w:rsidRPr="002051B9" w:rsidTr="00BA6EFB">
        <w:tc>
          <w:tcPr>
            <w:tcW w:w="7308" w:type="dxa"/>
            <w:gridSpan w:val="5"/>
            <w:shd w:val="clear" w:color="auto" w:fill="auto"/>
          </w:tcPr>
          <w:p w:rsidR="00B76F9A" w:rsidRDefault="00B76F9A" w:rsidP="00B76F9A">
            <w:pPr>
              <w:jc w:val="both"/>
              <w:rPr>
                <w:i/>
                <w:sz w:val="22"/>
                <w:szCs w:val="22"/>
              </w:rPr>
            </w:pPr>
            <w:r>
              <w:rPr>
                <w:i/>
                <w:sz w:val="22"/>
                <w:szCs w:val="22"/>
              </w:rPr>
              <w:t xml:space="preserve">I.2.2.f. </w:t>
            </w:r>
            <w:r w:rsidRPr="006E63C2">
              <w:rPr>
                <w:i/>
                <w:lang w:val="en-US"/>
              </w:rPr>
              <w:t>Përfshirja</w:t>
            </w:r>
            <w:r>
              <w:rPr>
                <w:i/>
                <w:lang w:val="en-US"/>
              </w:rPr>
              <w:t xml:space="preserve"> </w:t>
            </w:r>
            <w:r w:rsidRPr="006E63C2">
              <w:rPr>
                <w:i/>
                <w:lang w:val="en-US"/>
              </w:rPr>
              <w:t>në</w:t>
            </w:r>
            <w:r>
              <w:rPr>
                <w:i/>
                <w:lang w:val="en-US"/>
              </w:rPr>
              <w:t xml:space="preserve"> </w:t>
            </w:r>
            <w:r w:rsidRPr="006E63C2">
              <w:rPr>
                <w:i/>
                <w:lang w:val="en-US"/>
              </w:rPr>
              <w:t>kurrikulat</w:t>
            </w:r>
            <w:r>
              <w:rPr>
                <w:i/>
                <w:lang w:val="en-US"/>
              </w:rPr>
              <w:t xml:space="preserve"> </w:t>
            </w:r>
            <w:r w:rsidRPr="006E63C2">
              <w:rPr>
                <w:i/>
                <w:lang w:val="en-US"/>
              </w:rPr>
              <w:t>universitare</w:t>
            </w:r>
            <w:r>
              <w:rPr>
                <w:i/>
                <w:lang w:val="en-US"/>
              </w:rPr>
              <w:t xml:space="preserve"> </w:t>
            </w:r>
            <w:r w:rsidRPr="006E63C2">
              <w:rPr>
                <w:i/>
                <w:lang w:val="en-US"/>
              </w:rPr>
              <w:t>/</w:t>
            </w:r>
            <w:r>
              <w:rPr>
                <w:i/>
                <w:lang w:val="en-US"/>
              </w:rPr>
              <w:t xml:space="preserve"> </w:t>
            </w:r>
            <w:r w:rsidRPr="006E63C2">
              <w:rPr>
                <w:i/>
                <w:lang w:val="en-US"/>
              </w:rPr>
              <w:t>pas universitare</w:t>
            </w:r>
            <w:r>
              <w:rPr>
                <w:i/>
                <w:lang w:val="en-US"/>
              </w:rPr>
              <w:t xml:space="preserve"> </w:t>
            </w:r>
            <w:r w:rsidRPr="006E63C2">
              <w:rPr>
                <w:i/>
                <w:lang w:val="en-US"/>
              </w:rPr>
              <w:t>të</w:t>
            </w:r>
            <w:r>
              <w:rPr>
                <w:i/>
                <w:lang w:val="en-US"/>
              </w:rPr>
              <w:t xml:space="preserve"> mjekësisë i moduleve mbi çështjet dhe të drejtat e personave LGBTI+</w:t>
            </w:r>
          </w:p>
        </w:tc>
        <w:tc>
          <w:tcPr>
            <w:tcW w:w="2067" w:type="dxa"/>
          </w:tcPr>
          <w:p w:rsidR="00B76F9A" w:rsidRDefault="00B76F9A" w:rsidP="00B76F9A">
            <w:pPr>
              <w:jc w:val="center"/>
              <w:rPr>
                <w:bCs/>
                <w:i/>
                <w:sz w:val="22"/>
                <w:szCs w:val="22"/>
                <w:lang w:val="en-US"/>
              </w:rPr>
            </w:pPr>
            <w:r>
              <w:rPr>
                <w:bCs/>
                <w:i/>
                <w:sz w:val="22"/>
                <w:szCs w:val="22"/>
                <w:lang w:val="en-US"/>
              </w:rPr>
              <w:t>Kurrikula e përmirësuar</w:t>
            </w:r>
          </w:p>
        </w:tc>
        <w:tc>
          <w:tcPr>
            <w:tcW w:w="2067" w:type="dxa"/>
            <w:gridSpan w:val="2"/>
            <w:shd w:val="clear" w:color="auto" w:fill="auto"/>
          </w:tcPr>
          <w:p w:rsidR="00B76F9A" w:rsidRPr="00BE000A" w:rsidRDefault="00B76F9A" w:rsidP="00B76F9A">
            <w:pPr>
              <w:jc w:val="center"/>
              <w:rPr>
                <w:rFonts w:eastAsia="Times New Roman"/>
                <w:bCs/>
                <w:i/>
                <w:iCs/>
                <w:color w:val="000000"/>
                <w:sz w:val="22"/>
                <w:szCs w:val="22"/>
                <w:lang w:val="en-GB" w:eastAsia="en-GB"/>
              </w:rPr>
            </w:pPr>
            <w:r w:rsidRPr="00BE000A">
              <w:rPr>
                <w:rFonts w:eastAsia="Times New Roman"/>
                <w:bCs/>
                <w:i/>
                <w:iCs/>
                <w:color w:val="000000"/>
                <w:sz w:val="22"/>
                <w:szCs w:val="22"/>
                <w:lang w:val="en-GB" w:eastAsia="en-GB"/>
              </w:rPr>
              <w:t>Fakulteti i Mjek</w:t>
            </w:r>
            <w:r>
              <w:rPr>
                <w:rFonts w:eastAsia="Times New Roman"/>
                <w:bCs/>
                <w:i/>
                <w:iCs/>
                <w:color w:val="000000"/>
                <w:sz w:val="22"/>
                <w:szCs w:val="22"/>
                <w:lang w:val="en-GB" w:eastAsia="en-GB"/>
              </w:rPr>
              <w:t>ë</w:t>
            </w:r>
            <w:r w:rsidRPr="00BE000A">
              <w:rPr>
                <w:rFonts w:eastAsia="Times New Roman"/>
                <w:bCs/>
                <w:i/>
                <w:iCs/>
                <w:color w:val="000000"/>
                <w:sz w:val="22"/>
                <w:szCs w:val="22"/>
                <w:lang w:val="en-GB" w:eastAsia="en-GB"/>
              </w:rPr>
              <w:t>sis</w:t>
            </w:r>
            <w:r>
              <w:rPr>
                <w:rFonts w:eastAsia="Times New Roman"/>
                <w:bCs/>
                <w:i/>
                <w:iCs/>
                <w:color w:val="000000"/>
                <w:sz w:val="22"/>
                <w:szCs w:val="22"/>
                <w:lang w:val="en-GB" w:eastAsia="en-GB"/>
              </w:rPr>
              <w:t>ë</w:t>
            </w:r>
          </w:p>
        </w:tc>
        <w:tc>
          <w:tcPr>
            <w:tcW w:w="2520" w:type="dxa"/>
            <w:gridSpan w:val="2"/>
          </w:tcPr>
          <w:p w:rsidR="00B76F9A" w:rsidRPr="00BE000A" w:rsidRDefault="00B76F9A" w:rsidP="00B76F9A">
            <w:pPr>
              <w:jc w:val="center"/>
              <w:rPr>
                <w:rFonts w:eastAsia="Times New Roman"/>
                <w:bCs/>
                <w:i/>
                <w:iCs/>
                <w:color w:val="000000"/>
                <w:sz w:val="22"/>
                <w:szCs w:val="22"/>
                <w:lang w:val="en-GB" w:eastAsia="en-GB"/>
              </w:rPr>
            </w:pPr>
            <w:r w:rsidRPr="00BE000A">
              <w:rPr>
                <w:rFonts w:eastAsia="Times New Roman"/>
                <w:bCs/>
                <w:i/>
                <w:iCs/>
                <w:color w:val="000000"/>
                <w:sz w:val="22"/>
                <w:szCs w:val="22"/>
                <w:lang w:val="en-GB" w:eastAsia="en-GB"/>
              </w:rPr>
              <w:t>MSHMS,</w:t>
            </w:r>
            <w:r w:rsidRPr="00BE000A">
              <w:rPr>
                <w:rFonts w:eastAsia="Times New Roman"/>
                <w:bCs/>
                <w:color w:val="000000"/>
                <w:sz w:val="22"/>
                <w:szCs w:val="22"/>
                <w:lang w:val="en-GB" w:eastAsia="en-GB"/>
              </w:rPr>
              <w:t xml:space="preserve"> OJF, Org.ndërkombëtare</w:t>
            </w:r>
          </w:p>
        </w:tc>
        <w:tc>
          <w:tcPr>
            <w:tcW w:w="1765" w:type="dxa"/>
          </w:tcPr>
          <w:p w:rsidR="00B76F9A" w:rsidRPr="00BD4B41" w:rsidRDefault="00B76F9A" w:rsidP="00B76F9A">
            <w:pPr>
              <w:jc w:val="center"/>
              <w:rPr>
                <w:i/>
                <w:sz w:val="22"/>
                <w:szCs w:val="22"/>
              </w:rPr>
            </w:pPr>
            <w:r w:rsidRPr="00BD4B41">
              <w:rPr>
                <w:i/>
                <w:sz w:val="22"/>
                <w:szCs w:val="22"/>
              </w:rPr>
              <w:t>6-M-</w:t>
            </w:r>
            <w:r>
              <w:rPr>
                <w:i/>
                <w:sz w:val="22"/>
                <w:szCs w:val="22"/>
              </w:rPr>
              <w:t>II 2022</w:t>
            </w:r>
            <w:r w:rsidRPr="00BD4B41">
              <w:rPr>
                <w:i/>
                <w:sz w:val="22"/>
                <w:szCs w:val="22"/>
              </w:rPr>
              <w:t xml:space="preserve"> </w:t>
            </w:r>
          </w:p>
          <w:p w:rsidR="00B76F9A" w:rsidRPr="00BD4B41" w:rsidRDefault="00B76F9A" w:rsidP="00B76F9A">
            <w:pPr>
              <w:jc w:val="center"/>
              <w:rPr>
                <w:i/>
                <w:sz w:val="22"/>
                <w:szCs w:val="22"/>
              </w:rPr>
            </w:pPr>
            <w:r w:rsidRPr="00BD4B41">
              <w:rPr>
                <w:i/>
                <w:sz w:val="22"/>
                <w:szCs w:val="22"/>
              </w:rPr>
              <w:t xml:space="preserve">– </w:t>
            </w:r>
          </w:p>
          <w:p w:rsidR="00B76F9A" w:rsidRPr="00BD4B41" w:rsidRDefault="00B76F9A" w:rsidP="00B76F9A">
            <w:pPr>
              <w:jc w:val="center"/>
              <w:rPr>
                <w:i/>
                <w:sz w:val="22"/>
                <w:szCs w:val="22"/>
              </w:rPr>
            </w:pPr>
            <w:r w:rsidRPr="00BD4B41">
              <w:rPr>
                <w:i/>
                <w:sz w:val="22"/>
                <w:szCs w:val="22"/>
              </w:rPr>
              <w:t>6-M-I</w:t>
            </w:r>
            <w:r>
              <w:rPr>
                <w:i/>
                <w:sz w:val="22"/>
                <w:szCs w:val="22"/>
              </w:rPr>
              <w:t>I</w:t>
            </w:r>
            <w:r w:rsidRPr="00BD4B41">
              <w:rPr>
                <w:i/>
                <w:sz w:val="22"/>
                <w:szCs w:val="22"/>
              </w:rPr>
              <w:t xml:space="preserve"> 202</w:t>
            </w:r>
            <w:r>
              <w:rPr>
                <w:i/>
                <w:sz w:val="22"/>
                <w:szCs w:val="22"/>
              </w:rPr>
              <w:t>7</w:t>
            </w:r>
          </w:p>
        </w:tc>
      </w:tr>
      <w:tr w:rsidR="00B76F9A" w:rsidRPr="00265B92" w:rsidTr="00BA6EFB">
        <w:tc>
          <w:tcPr>
            <w:tcW w:w="2067" w:type="dxa"/>
            <w:shd w:val="clear" w:color="auto" w:fill="FBD4B4" w:themeFill="accent6" w:themeFillTint="66"/>
          </w:tcPr>
          <w:p w:rsidR="00B76F9A" w:rsidRPr="0005701D" w:rsidRDefault="00B76F9A" w:rsidP="00B76F9A">
            <w:pPr>
              <w:rPr>
                <w:b/>
                <w:sz w:val="22"/>
                <w:szCs w:val="22"/>
              </w:rPr>
            </w:pPr>
            <w:r w:rsidRPr="0005701D">
              <w:rPr>
                <w:b/>
                <w:sz w:val="22"/>
                <w:szCs w:val="22"/>
              </w:rPr>
              <w:t>Objektivi specifik I.</w:t>
            </w:r>
            <w:r>
              <w:rPr>
                <w:b/>
                <w:sz w:val="22"/>
                <w:szCs w:val="22"/>
              </w:rPr>
              <w:t>3</w:t>
            </w:r>
            <w:r w:rsidRPr="0005701D">
              <w:rPr>
                <w:b/>
                <w:sz w:val="22"/>
                <w:szCs w:val="22"/>
              </w:rPr>
              <w:t>:</w:t>
            </w:r>
          </w:p>
        </w:tc>
        <w:tc>
          <w:tcPr>
            <w:tcW w:w="13660" w:type="dxa"/>
            <w:gridSpan w:val="10"/>
            <w:shd w:val="clear" w:color="auto" w:fill="FBD4B4" w:themeFill="accent6" w:themeFillTint="66"/>
          </w:tcPr>
          <w:p w:rsidR="00B76F9A" w:rsidRPr="0005701D" w:rsidRDefault="00B76F9A" w:rsidP="00B76F9A">
            <w:pPr>
              <w:rPr>
                <w:b/>
                <w:sz w:val="22"/>
                <w:szCs w:val="22"/>
              </w:rPr>
            </w:pPr>
            <w:r w:rsidRPr="0005701D">
              <w:rPr>
                <w:b/>
                <w:sz w:val="22"/>
                <w:szCs w:val="22"/>
              </w:rPr>
              <w:t>Garantimi i aksesit për personat LGBTI</w:t>
            </w:r>
            <w:r>
              <w:rPr>
                <w:b/>
                <w:sz w:val="22"/>
                <w:szCs w:val="22"/>
              </w:rPr>
              <w:t>+</w:t>
            </w:r>
            <w:r w:rsidRPr="0005701D">
              <w:rPr>
                <w:b/>
                <w:sz w:val="22"/>
                <w:szCs w:val="22"/>
              </w:rPr>
              <w:t xml:space="preserve"> në </w:t>
            </w:r>
            <w:r>
              <w:rPr>
                <w:b/>
                <w:sz w:val="22"/>
                <w:szCs w:val="22"/>
              </w:rPr>
              <w:t xml:space="preserve">shërbimet e </w:t>
            </w:r>
            <w:r w:rsidRPr="0005701D">
              <w:rPr>
                <w:b/>
                <w:sz w:val="22"/>
                <w:szCs w:val="22"/>
              </w:rPr>
              <w:t>kujdesi</w:t>
            </w:r>
            <w:r>
              <w:rPr>
                <w:b/>
                <w:sz w:val="22"/>
                <w:szCs w:val="22"/>
              </w:rPr>
              <w:t>t</w:t>
            </w:r>
            <w:r w:rsidRPr="0005701D">
              <w:rPr>
                <w:b/>
                <w:sz w:val="22"/>
                <w:szCs w:val="22"/>
              </w:rPr>
              <w:t xml:space="preserve"> shëndetësor, në të gjithë vendin.</w:t>
            </w:r>
          </w:p>
        </w:tc>
      </w:tr>
      <w:tr w:rsidR="00B76F9A" w:rsidRPr="00B32E8F" w:rsidTr="00BA6EFB">
        <w:tc>
          <w:tcPr>
            <w:tcW w:w="2067" w:type="dxa"/>
            <w:shd w:val="clear" w:color="auto" w:fill="FDE9D9" w:themeFill="accent6" w:themeFillTint="33"/>
          </w:tcPr>
          <w:p w:rsidR="00B76F9A" w:rsidRPr="00B32E8F" w:rsidRDefault="00B76F9A" w:rsidP="00B76F9A">
            <w:pPr>
              <w:rPr>
                <w:b/>
                <w:sz w:val="22"/>
                <w:szCs w:val="22"/>
                <w:u w:val="single"/>
                <w:lang w:val="en-US"/>
              </w:rPr>
            </w:pPr>
            <w:r w:rsidRPr="00B32E8F">
              <w:rPr>
                <w:b/>
                <w:bCs/>
                <w:sz w:val="22"/>
                <w:szCs w:val="22"/>
                <w:u w:val="single"/>
              </w:rPr>
              <w:t xml:space="preserve">Rezultatet e pritshme: </w:t>
            </w:r>
          </w:p>
          <w:p w:rsidR="00B76F9A" w:rsidRPr="00B32E8F" w:rsidRDefault="00B76F9A" w:rsidP="00B76F9A">
            <w:pPr>
              <w:rPr>
                <w:b/>
                <w:bCs/>
                <w:sz w:val="22"/>
                <w:szCs w:val="22"/>
                <w:u w:val="single"/>
              </w:rPr>
            </w:pPr>
          </w:p>
        </w:tc>
        <w:tc>
          <w:tcPr>
            <w:tcW w:w="13660" w:type="dxa"/>
            <w:gridSpan w:val="10"/>
            <w:shd w:val="clear" w:color="auto" w:fill="FDE9D9" w:themeFill="accent6" w:themeFillTint="33"/>
          </w:tcPr>
          <w:p w:rsidR="00B76F9A" w:rsidRDefault="00B76F9A" w:rsidP="00B76F9A">
            <w:pPr>
              <w:jc w:val="both"/>
              <w:rPr>
                <w:bCs/>
                <w:sz w:val="22"/>
                <w:szCs w:val="22"/>
              </w:rPr>
            </w:pPr>
            <w:r>
              <w:rPr>
                <w:bCs/>
                <w:sz w:val="22"/>
                <w:szCs w:val="22"/>
              </w:rPr>
              <w:t>i. Shërbime të kujdesit shëndetësor miqësore, të aksesueshme dhe të diponueshme për personat LGBTI+ në mbarë vendin</w:t>
            </w:r>
          </w:p>
          <w:p w:rsidR="00F25CCE" w:rsidRDefault="00F25CCE" w:rsidP="00B76F9A">
            <w:pPr>
              <w:jc w:val="both"/>
              <w:rPr>
                <w:bCs/>
                <w:sz w:val="22"/>
                <w:szCs w:val="22"/>
              </w:rPr>
            </w:pPr>
          </w:p>
          <w:p w:rsidR="00B76F9A" w:rsidRPr="00B32E8F" w:rsidRDefault="006244A1" w:rsidP="00B76F9A">
            <w:pPr>
              <w:jc w:val="both"/>
              <w:rPr>
                <w:bCs/>
                <w:sz w:val="22"/>
                <w:szCs w:val="22"/>
              </w:rPr>
            </w:pPr>
            <w:r>
              <w:rPr>
                <w:bCs/>
                <w:sz w:val="22"/>
                <w:szCs w:val="22"/>
              </w:rPr>
              <w:t>ii. Më shumë informacion dhe mjete të unifikuara (protokolle) për trajtimin sipas standardeve të personave transgjinorë dhe interseks</w:t>
            </w:r>
          </w:p>
          <w:p w:rsidR="00B76F9A" w:rsidRPr="00B32E8F" w:rsidRDefault="00B76F9A" w:rsidP="00B76F9A">
            <w:pPr>
              <w:ind w:left="720" w:hanging="720"/>
              <w:jc w:val="both"/>
              <w:rPr>
                <w:sz w:val="22"/>
                <w:szCs w:val="22"/>
                <w:lang w:val="en-US"/>
              </w:rPr>
            </w:pPr>
          </w:p>
        </w:tc>
      </w:tr>
      <w:tr w:rsidR="00B76F9A" w:rsidRPr="00B32E8F" w:rsidTr="00BA6EFB">
        <w:tc>
          <w:tcPr>
            <w:tcW w:w="2067" w:type="dxa"/>
            <w:shd w:val="clear" w:color="auto" w:fill="FDE9D9" w:themeFill="accent6" w:themeFillTint="33"/>
          </w:tcPr>
          <w:p w:rsidR="00B76F9A" w:rsidRPr="00B32E8F" w:rsidRDefault="00B76F9A" w:rsidP="00B76F9A">
            <w:pPr>
              <w:rPr>
                <w:b/>
                <w:bCs/>
                <w:sz w:val="22"/>
                <w:szCs w:val="22"/>
              </w:rPr>
            </w:pPr>
            <w:r w:rsidRPr="00B32E8F">
              <w:rPr>
                <w:b/>
                <w:bCs/>
                <w:sz w:val="22"/>
                <w:szCs w:val="22"/>
              </w:rPr>
              <w:t>Treguesit</w:t>
            </w:r>
          </w:p>
        </w:tc>
        <w:tc>
          <w:tcPr>
            <w:tcW w:w="9363" w:type="dxa"/>
            <w:gridSpan w:val="6"/>
            <w:shd w:val="clear" w:color="auto" w:fill="FDE9D9" w:themeFill="accent6" w:themeFillTint="33"/>
          </w:tcPr>
          <w:p w:rsidR="00F25CCE" w:rsidRDefault="00F25CCE" w:rsidP="00B76F9A">
            <w:pPr>
              <w:ind w:left="720" w:hanging="720"/>
              <w:rPr>
                <w:sz w:val="22"/>
                <w:szCs w:val="22"/>
              </w:rPr>
            </w:pPr>
          </w:p>
          <w:p w:rsidR="00B76F9A" w:rsidRDefault="00F25CCE" w:rsidP="00BE000A">
            <w:pPr>
              <w:ind w:left="592" w:hanging="630"/>
              <w:rPr>
                <w:sz w:val="22"/>
                <w:szCs w:val="22"/>
              </w:rPr>
            </w:pPr>
            <w:r>
              <w:rPr>
                <w:sz w:val="22"/>
                <w:szCs w:val="22"/>
              </w:rPr>
              <w:t>I.3.a.</w:t>
            </w:r>
            <w:r w:rsidR="00B76F9A" w:rsidRPr="00B32E8F">
              <w:rPr>
                <w:sz w:val="22"/>
                <w:szCs w:val="22"/>
              </w:rPr>
              <w:t xml:space="preserve"> </w:t>
            </w:r>
            <w:r w:rsidR="00B76F9A" w:rsidRPr="00B32E8F">
              <w:rPr>
                <w:sz w:val="22"/>
                <w:szCs w:val="22"/>
              </w:rPr>
              <w:tab/>
            </w:r>
            <w:r>
              <w:rPr>
                <w:bCs/>
                <w:sz w:val="22"/>
                <w:szCs w:val="22"/>
              </w:rPr>
              <w:t>Numri i punonj</w:t>
            </w:r>
            <w:r w:rsidR="009E0AE0">
              <w:rPr>
                <w:bCs/>
                <w:sz w:val="22"/>
                <w:szCs w:val="22"/>
              </w:rPr>
              <w:t>ë</w:t>
            </w:r>
            <w:r>
              <w:rPr>
                <w:bCs/>
                <w:sz w:val="22"/>
                <w:szCs w:val="22"/>
              </w:rPr>
              <w:t>seve dhe punonj</w:t>
            </w:r>
            <w:r w:rsidR="009E0AE0">
              <w:rPr>
                <w:bCs/>
                <w:sz w:val="22"/>
                <w:szCs w:val="22"/>
              </w:rPr>
              <w:t>ë</w:t>
            </w:r>
            <w:r>
              <w:rPr>
                <w:bCs/>
                <w:sz w:val="22"/>
                <w:szCs w:val="22"/>
              </w:rPr>
              <w:t>sve t</w:t>
            </w:r>
            <w:r w:rsidR="009E0AE0">
              <w:rPr>
                <w:bCs/>
                <w:sz w:val="22"/>
                <w:szCs w:val="22"/>
              </w:rPr>
              <w:t>ë</w:t>
            </w:r>
            <w:r>
              <w:rPr>
                <w:bCs/>
                <w:sz w:val="22"/>
                <w:szCs w:val="22"/>
              </w:rPr>
              <w:t xml:space="preserve"> kujdesit sh</w:t>
            </w:r>
            <w:r w:rsidR="009E0AE0">
              <w:rPr>
                <w:bCs/>
                <w:sz w:val="22"/>
                <w:szCs w:val="22"/>
              </w:rPr>
              <w:t>ë</w:t>
            </w:r>
            <w:r>
              <w:rPr>
                <w:bCs/>
                <w:sz w:val="22"/>
                <w:szCs w:val="22"/>
              </w:rPr>
              <w:t>ndet</w:t>
            </w:r>
            <w:r w:rsidR="009E0AE0">
              <w:rPr>
                <w:bCs/>
                <w:sz w:val="22"/>
                <w:szCs w:val="22"/>
              </w:rPr>
              <w:t>ë</w:t>
            </w:r>
            <w:r>
              <w:rPr>
                <w:bCs/>
                <w:sz w:val="22"/>
                <w:szCs w:val="22"/>
              </w:rPr>
              <w:t>sor par</w:t>
            </w:r>
            <w:r w:rsidR="009E0AE0">
              <w:rPr>
                <w:bCs/>
                <w:sz w:val="22"/>
                <w:szCs w:val="22"/>
              </w:rPr>
              <w:t>ë</w:t>
            </w:r>
            <w:r>
              <w:rPr>
                <w:bCs/>
                <w:sz w:val="22"/>
                <w:szCs w:val="22"/>
              </w:rPr>
              <w:t>sor t</w:t>
            </w:r>
            <w:r w:rsidR="009E0AE0">
              <w:rPr>
                <w:bCs/>
                <w:sz w:val="22"/>
                <w:szCs w:val="22"/>
              </w:rPr>
              <w:t>ë</w:t>
            </w:r>
            <w:r>
              <w:rPr>
                <w:bCs/>
                <w:sz w:val="22"/>
                <w:szCs w:val="22"/>
              </w:rPr>
              <w:t xml:space="preserve"> trajnuar </w:t>
            </w:r>
            <w:r w:rsidR="00B76F9A" w:rsidRPr="00B32E8F">
              <w:rPr>
                <w:sz w:val="22"/>
                <w:szCs w:val="22"/>
              </w:rPr>
              <w:t xml:space="preserve"> </w:t>
            </w:r>
            <w:r>
              <w:rPr>
                <w:sz w:val="22"/>
                <w:szCs w:val="22"/>
              </w:rPr>
              <w:t>p</w:t>
            </w:r>
            <w:r w:rsidR="009E0AE0">
              <w:rPr>
                <w:sz w:val="22"/>
                <w:szCs w:val="22"/>
              </w:rPr>
              <w:t>ë</w:t>
            </w:r>
            <w:r>
              <w:rPr>
                <w:sz w:val="22"/>
                <w:szCs w:val="22"/>
              </w:rPr>
              <w:t>r ofrimin e sh</w:t>
            </w:r>
            <w:r w:rsidR="009E0AE0">
              <w:rPr>
                <w:sz w:val="22"/>
                <w:szCs w:val="22"/>
              </w:rPr>
              <w:t>ë</w:t>
            </w:r>
            <w:r>
              <w:rPr>
                <w:sz w:val="22"/>
                <w:szCs w:val="22"/>
              </w:rPr>
              <w:t>rbimeve sh</w:t>
            </w:r>
            <w:r w:rsidR="009E0AE0">
              <w:rPr>
                <w:sz w:val="22"/>
                <w:szCs w:val="22"/>
              </w:rPr>
              <w:t>ë</w:t>
            </w:r>
            <w:r>
              <w:rPr>
                <w:sz w:val="22"/>
                <w:szCs w:val="22"/>
              </w:rPr>
              <w:t>ndet</w:t>
            </w:r>
            <w:r w:rsidR="009E0AE0">
              <w:rPr>
                <w:sz w:val="22"/>
                <w:szCs w:val="22"/>
              </w:rPr>
              <w:t>ë</w:t>
            </w:r>
            <w:r>
              <w:rPr>
                <w:sz w:val="22"/>
                <w:szCs w:val="22"/>
              </w:rPr>
              <w:t>sore miq</w:t>
            </w:r>
            <w:r w:rsidR="009E0AE0">
              <w:rPr>
                <w:sz w:val="22"/>
                <w:szCs w:val="22"/>
              </w:rPr>
              <w:t>ë</w:t>
            </w:r>
            <w:r>
              <w:rPr>
                <w:sz w:val="22"/>
                <w:szCs w:val="22"/>
              </w:rPr>
              <w:t>sore, cil</w:t>
            </w:r>
            <w:r w:rsidR="009E0AE0">
              <w:rPr>
                <w:sz w:val="22"/>
                <w:szCs w:val="22"/>
              </w:rPr>
              <w:t>ë</w:t>
            </w:r>
            <w:r>
              <w:rPr>
                <w:sz w:val="22"/>
                <w:szCs w:val="22"/>
              </w:rPr>
              <w:t>sore dhe sipas standardeve p</w:t>
            </w:r>
            <w:r w:rsidR="009E0AE0">
              <w:rPr>
                <w:sz w:val="22"/>
                <w:szCs w:val="22"/>
              </w:rPr>
              <w:t>ë</w:t>
            </w:r>
            <w:r>
              <w:rPr>
                <w:sz w:val="22"/>
                <w:szCs w:val="22"/>
              </w:rPr>
              <w:t>r personat LGBTI+</w:t>
            </w:r>
          </w:p>
          <w:p w:rsidR="00F25CCE" w:rsidRDefault="00F25CCE" w:rsidP="00BE000A">
            <w:pPr>
              <w:ind w:left="592" w:hanging="630"/>
              <w:rPr>
                <w:sz w:val="22"/>
                <w:szCs w:val="22"/>
              </w:rPr>
            </w:pPr>
          </w:p>
          <w:p w:rsidR="00F25CCE" w:rsidRPr="00B32E8F" w:rsidRDefault="00F25CCE" w:rsidP="00BE000A">
            <w:pPr>
              <w:ind w:left="592" w:hanging="630"/>
              <w:rPr>
                <w:bCs/>
                <w:sz w:val="22"/>
                <w:szCs w:val="22"/>
              </w:rPr>
            </w:pPr>
          </w:p>
          <w:p w:rsidR="009E0AE0" w:rsidRDefault="009E0AE0" w:rsidP="00F25CCE">
            <w:pPr>
              <w:ind w:left="592" w:hanging="592"/>
              <w:rPr>
                <w:sz w:val="22"/>
                <w:szCs w:val="22"/>
              </w:rPr>
            </w:pPr>
          </w:p>
          <w:p w:rsidR="009E0AE0" w:rsidRDefault="009E0AE0" w:rsidP="00F25CCE">
            <w:pPr>
              <w:ind w:left="592" w:hanging="592"/>
              <w:rPr>
                <w:sz w:val="22"/>
                <w:szCs w:val="22"/>
              </w:rPr>
            </w:pPr>
          </w:p>
          <w:p w:rsidR="009E0AE0" w:rsidRDefault="009E0AE0" w:rsidP="00F25CCE">
            <w:pPr>
              <w:ind w:left="592" w:hanging="592"/>
              <w:rPr>
                <w:sz w:val="22"/>
                <w:szCs w:val="22"/>
              </w:rPr>
            </w:pPr>
          </w:p>
          <w:p w:rsidR="00B76F9A" w:rsidRPr="00B32E8F" w:rsidRDefault="00F25CCE" w:rsidP="00F25CCE">
            <w:pPr>
              <w:ind w:left="592" w:hanging="592"/>
              <w:rPr>
                <w:bCs/>
                <w:sz w:val="22"/>
                <w:szCs w:val="22"/>
              </w:rPr>
            </w:pPr>
            <w:r>
              <w:rPr>
                <w:sz w:val="22"/>
                <w:szCs w:val="22"/>
              </w:rPr>
              <w:t>I.3.b</w:t>
            </w:r>
            <w:r w:rsidR="00B76F9A" w:rsidRPr="00B32E8F">
              <w:rPr>
                <w:sz w:val="22"/>
                <w:szCs w:val="22"/>
              </w:rPr>
              <w:t xml:space="preserve">. </w:t>
            </w:r>
            <w:r w:rsidR="00B76F9A" w:rsidRPr="00B32E8F">
              <w:rPr>
                <w:sz w:val="22"/>
                <w:szCs w:val="22"/>
              </w:rPr>
              <w:tab/>
            </w:r>
            <w:r w:rsidR="006244A1" w:rsidRPr="006244A1">
              <w:rPr>
                <w:bCs/>
                <w:sz w:val="22"/>
                <w:szCs w:val="22"/>
              </w:rPr>
              <w:t xml:space="preserve">Numri i </w:t>
            </w:r>
            <w:r w:rsidR="009E0AE0">
              <w:rPr>
                <w:bCs/>
                <w:sz w:val="22"/>
                <w:szCs w:val="22"/>
              </w:rPr>
              <w:t>mjeteve të unifikuara (protokolle) për trajtimin sipas standardeve të personave transgjinorë dhe interseks</w:t>
            </w:r>
          </w:p>
          <w:p w:rsidR="00B76F9A" w:rsidRPr="00B32E8F" w:rsidRDefault="00B76F9A" w:rsidP="00F25CCE">
            <w:pPr>
              <w:rPr>
                <w:sz w:val="22"/>
                <w:szCs w:val="22"/>
              </w:rPr>
            </w:pPr>
          </w:p>
        </w:tc>
        <w:tc>
          <w:tcPr>
            <w:tcW w:w="2520" w:type="dxa"/>
            <w:gridSpan w:val="2"/>
            <w:shd w:val="clear" w:color="auto" w:fill="FDE9D9" w:themeFill="accent6" w:themeFillTint="33"/>
          </w:tcPr>
          <w:p w:rsidR="00B76F9A" w:rsidRPr="00B32E8F" w:rsidRDefault="00B76F9A" w:rsidP="00B76F9A">
            <w:pPr>
              <w:jc w:val="center"/>
              <w:rPr>
                <w:bCs/>
                <w:sz w:val="22"/>
                <w:szCs w:val="22"/>
                <w:u w:val="single"/>
              </w:rPr>
            </w:pPr>
            <w:r w:rsidRPr="00B32E8F">
              <w:rPr>
                <w:bCs/>
                <w:sz w:val="22"/>
                <w:szCs w:val="22"/>
                <w:u w:val="single"/>
              </w:rPr>
              <w:t>Baseline:</w:t>
            </w:r>
          </w:p>
          <w:p w:rsidR="00B76F9A" w:rsidRDefault="00F25CCE" w:rsidP="00B76F9A">
            <w:pPr>
              <w:jc w:val="center"/>
              <w:rPr>
                <w:i/>
                <w:iCs/>
                <w:color w:val="000000"/>
                <w:sz w:val="22"/>
                <w:szCs w:val="22"/>
              </w:rPr>
            </w:pPr>
            <w:r>
              <w:rPr>
                <w:i/>
                <w:iCs/>
                <w:color w:val="000000"/>
                <w:sz w:val="22"/>
                <w:szCs w:val="22"/>
              </w:rPr>
              <w:t>Do t</w:t>
            </w:r>
            <w:r w:rsidR="009E0AE0">
              <w:rPr>
                <w:i/>
                <w:iCs/>
                <w:color w:val="000000"/>
                <w:sz w:val="22"/>
                <w:szCs w:val="22"/>
              </w:rPr>
              <w:t>ë</w:t>
            </w:r>
            <w:r>
              <w:rPr>
                <w:i/>
                <w:iCs/>
                <w:color w:val="000000"/>
                <w:sz w:val="22"/>
                <w:szCs w:val="22"/>
              </w:rPr>
              <w:t xml:space="preserve"> p</w:t>
            </w:r>
            <w:r w:rsidR="009E0AE0">
              <w:rPr>
                <w:i/>
                <w:iCs/>
                <w:color w:val="000000"/>
                <w:sz w:val="22"/>
                <w:szCs w:val="22"/>
              </w:rPr>
              <w:t>ë</w:t>
            </w:r>
            <w:r>
              <w:rPr>
                <w:i/>
                <w:iCs/>
                <w:color w:val="000000"/>
                <w:sz w:val="22"/>
                <w:szCs w:val="22"/>
              </w:rPr>
              <w:t>rcaktohet gjat</w:t>
            </w:r>
            <w:r w:rsidR="009E0AE0">
              <w:rPr>
                <w:i/>
                <w:iCs/>
                <w:color w:val="000000"/>
                <w:sz w:val="22"/>
                <w:szCs w:val="22"/>
              </w:rPr>
              <w:t>ë</w:t>
            </w:r>
            <w:r>
              <w:rPr>
                <w:i/>
                <w:iCs/>
                <w:color w:val="000000"/>
                <w:sz w:val="22"/>
                <w:szCs w:val="22"/>
              </w:rPr>
              <w:t xml:space="preserve"> vitit 2022</w:t>
            </w:r>
          </w:p>
          <w:p w:rsidR="00F25CCE" w:rsidRDefault="00F25CCE" w:rsidP="00B76F9A">
            <w:pPr>
              <w:jc w:val="center"/>
              <w:rPr>
                <w:i/>
                <w:iCs/>
                <w:color w:val="000000"/>
                <w:sz w:val="22"/>
                <w:szCs w:val="22"/>
              </w:rPr>
            </w:pPr>
          </w:p>
          <w:p w:rsidR="00F25CCE" w:rsidRPr="00B32E8F" w:rsidRDefault="00F25CCE" w:rsidP="00B76F9A">
            <w:pPr>
              <w:jc w:val="center"/>
              <w:rPr>
                <w:i/>
                <w:iCs/>
                <w:color w:val="000000"/>
                <w:sz w:val="22"/>
                <w:szCs w:val="22"/>
              </w:rPr>
            </w:pPr>
          </w:p>
          <w:p w:rsidR="00B76F9A" w:rsidRDefault="00B76F9A" w:rsidP="00B76F9A">
            <w:pPr>
              <w:jc w:val="center"/>
              <w:rPr>
                <w:i/>
                <w:iCs/>
                <w:color w:val="000000"/>
                <w:sz w:val="22"/>
                <w:szCs w:val="22"/>
              </w:rPr>
            </w:pPr>
          </w:p>
          <w:p w:rsidR="009E0AE0" w:rsidRDefault="009E0AE0" w:rsidP="00F25CCE">
            <w:pPr>
              <w:jc w:val="center"/>
              <w:rPr>
                <w:i/>
                <w:iCs/>
                <w:color w:val="000000"/>
                <w:sz w:val="22"/>
                <w:szCs w:val="22"/>
              </w:rPr>
            </w:pPr>
          </w:p>
          <w:p w:rsidR="009E0AE0" w:rsidRDefault="009E0AE0" w:rsidP="00F25CCE">
            <w:pPr>
              <w:jc w:val="center"/>
              <w:rPr>
                <w:i/>
                <w:iCs/>
                <w:color w:val="000000"/>
                <w:sz w:val="22"/>
                <w:szCs w:val="22"/>
              </w:rPr>
            </w:pPr>
          </w:p>
          <w:p w:rsidR="00F25CCE" w:rsidRDefault="009E0AE0" w:rsidP="00F25CCE">
            <w:pPr>
              <w:jc w:val="center"/>
              <w:rPr>
                <w:i/>
                <w:iCs/>
                <w:color w:val="000000"/>
                <w:sz w:val="22"/>
                <w:szCs w:val="22"/>
              </w:rPr>
            </w:pPr>
            <w:r>
              <w:rPr>
                <w:i/>
                <w:iCs/>
                <w:color w:val="000000"/>
                <w:sz w:val="22"/>
                <w:szCs w:val="22"/>
              </w:rPr>
              <w:t>1 (2021)</w:t>
            </w:r>
          </w:p>
          <w:p w:rsidR="00F25CCE" w:rsidRPr="00B32E8F" w:rsidRDefault="00F25CCE" w:rsidP="00F25CCE">
            <w:pPr>
              <w:jc w:val="center"/>
              <w:rPr>
                <w:bCs/>
                <w:sz w:val="22"/>
                <w:szCs w:val="22"/>
              </w:rPr>
            </w:pPr>
          </w:p>
        </w:tc>
        <w:tc>
          <w:tcPr>
            <w:tcW w:w="1777" w:type="dxa"/>
            <w:gridSpan w:val="2"/>
            <w:shd w:val="clear" w:color="auto" w:fill="FDE9D9" w:themeFill="accent6" w:themeFillTint="33"/>
          </w:tcPr>
          <w:p w:rsidR="00B76F9A" w:rsidRPr="00B32E8F" w:rsidRDefault="00B76F9A" w:rsidP="00B76F9A">
            <w:pPr>
              <w:jc w:val="center"/>
              <w:rPr>
                <w:bCs/>
                <w:sz w:val="22"/>
                <w:szCs w:val="22"/>
                <w:u w:val="single"/>
              </w:rPr>
            </w:pPr>
            <w:r w:rsidRPr="00B32E8F">
              <w:rPr>
                <w:bCs/>
                <w:sz w:val="22"/>
                <w:szCs w:val="22"/>
                <w:u w:val="single"/>
              </w:rPr>
              <w:t>Target:</w:t>
            </w:r>
          </w:p>
          <w:p w:rsidR="00F25CCE" w:rsidRDefault="00F25CCE" w:rsidP="00BE000A">
            <w:pPr>
              <w:jc w:val="center"/>
              <w:rPr>
                <w:bCs/>
                <w:i/>
                <w:iCs/>
                <w:sz w:val="22"/>
                <w:szCs w:val="22"/>
              </w:rPr>
            </w:pPr>
            <w:r>
              <w:rPr>
                <w:bCs/>
                <w:i/>
                <w:iCs/>
                <w:sz w:val="22"/>
                <w:szCs w:val="22"/>
              </w:rPr>
              <w:t>360 profesioniste dhe profesionist</w:t>
            </w:r>
            <w:r w:rsidR="009E0AE0">
              <w:rPr>
                <w:bCs/>
                <w:i/>
                <w:iCs/>
                <w:sz w:val="22"/>
                <w:szCs w:val="22"/>
              </w:rPr>
              <w:t>ë</w:t>
            </w:r>
            <w:r>
              <w:rPr>
                <w:bCs/>
                <w:i/>
                <w:iCs/>
                <w:sz w:val="22"/>
                <w:szCs w:val="22"/>
              </w:rPr>
              <w:t xml:space="preserve"> t</w:t>
            </w:r>
            <w:r w:rsidR="009E0AE0">
              <w:rPr>
                <w:bCs/>
                <w:i/>
                <w:iCs/>
                <w:sz w:val="22"/>
                <w:szCs w:val="22"/>
              </w:rPr>
              <w:t>ë</w:t>
            </w:r>
            <w:r>
              <w:rPr>
                <w:bCs/>
                <w:i/>
                <w:iCs/>
                <w:sz w:val="22"/>
                <w:szCs w:val="22"/>
              </w:rPr>
              <w:t xml:space="preserve"> kujdesit sh</w:t>
            </w:r>
            <w:r w:rsidR="009E0AE0">
              <w:rPr>
                <w:bCs/>
                <w:i/>
                <w:iCs/>
                <w:sz w:val="22"/>
                <w:szCs w:val="22"/>
              </w:rPr>
              <w:t>ë</w:t>
            </w:r>
            <w:r>
              <w:rPr>
                <w:bCs/>
                <w:i/>
                <w:iCs/>
                <w:sz w:val="22"/>
                <w:szCs w:val="22"/>
              </w:rPr>
              <w:t>ndet</w:t>
            </w:r>
            <w:r w:rsidR="009E0AE0">
              <w:rPr>
                <w:bCs/>
                <w:i/>
                <w:iCs/>
                <w:sz w:val="22"/>
                <w:szCs w:val="22"/>
              </w:rPr>
              <w:t>ë</w:t>
            </w:r>
            <w:r>
              <w:rPr>
                <w:bCs/>
                <w:i/>
                <w:iCs/>
                <w:sz w:val="22"/>
                <w:szCs w:val="22"/>
              </w:rPr>
              <w:t>sor par</w:t>
            </w:r>
            <w:r w:rsidR="009E0AE0">
              <w:rPr>
                <w:bCs/>
                <w:i/>
                <w:iCs/>
                <w:sz w:val="22"/>
                <w:szCs w:val="22"/>
              </w:rPr>
              <w:t>ë</w:t>
            </w:r>
            <w:r>
              <w:rPr>
                <w:bCs/>
                <w:i/>
                <w:iCs/>
                <w:sz w:val="22"/>
                <w:szCs w:val="22"/>
              </w:rPr>
              <w:t>sor t</w:t>
            </w:r>
            <w:r w:rsidR="009E0AE0">
              <w:rPr>
                <w:bCs/>
                <w:i/>
                <w:iCs/>
                <w:sz w:val="22"/>
                <w:szCs w:val="22"/>
              </w:rPr>
              <w:t>ë</w:t>
            </w:r>
            <w:r>
              <w:rPr>
                <w:bCs/>
                <w:i/>
                <w:iCs/>
                <w:sz w:val="22"/>
                <w:szCs w:val="22"/>
              </w:rPr>
              <w:t xml:space="preserve"> trajnuar çdo vit</w:t>
            </w:r>
          </w:p>
          <w:p w:rsidR="00F25CCE" w:rsidRDefault="00F25CCE" w:rsidP="00B76F9A">
            <w:pPr>
              <w:rPr>
                <w:bCs/>
                <w:i/>
                <w:iCs/>
                <w:sz w:val="22"/>
                <w:szCs w:val="22"/>
              </w:rPr>
            </w:pPr>
          </w:p>
          <w:p w:rsidR="00B76F9A" w:rsidRPr="00B32E8F" w:rsidRDefault="009E0AE0" w:rsidP="00BE000A">
            <w:pPr>
              <w:jc w:val="center"/>
              <w:rPr>
                <w:rFonts w:eastAsia="Times New Roman"/>
                <w:i/>
                <w:iCs/>
                <w:color w:val="000000"/>
                <w:sz w:val="22"/>
                <w:szCs w:val="22"/>
                <w:lang w:val="en-US" w:eastAsia="en-US"/>
              </w:rPr>
            </w:pPr>
            <w:r>
              <w:rPr>
                <w:bCs/>
                <w:i/>
                <w:iCs/>
                <w:sz w:val="22"/>
                <w:szCs w:val="22"/>
              </w:rPr>
              <w:t>2 (2023)</w:t>
            </w:r>
          </w:p>
          <w:p w:rsidR="00B76F9A" w:rsidRPr="00B32E8F" w:rsidRDefault="00B76F9A" w:rsidP="00B76F9A">
            <w:pPr>
              <w:rPr>
                <w:bCs/>
                <w:i/>
                <w:iCs/>
                <w:sz w:val="22"/>
                <w:szCs w:val="22"/>
              </w:rPr>
            </w:pPr>
          </w:p>
        </w:tc>
      </w:tr>
      <w:tr w:rsidR="00B76F9A" w:rsidRPr="00B32E8F" w:rsidTr="00BA6EFB">
        <w:tc>
          <w:tcPr>
            <w:tcW w:w="7308" w:type="dxa"/>
            <w:gridSpan w:val="5"/>
            <w:shd w:val="clear" w:color="auto" w:fill="C2D69B" w:themeFill="accent3" w:themeFillTint="99"/>
          </w:tcPr>
          <w:p w:rsidR="00B76F9A" w:rsidRPr="00B32E8F" w:rsidRDefault="00B76F9A" w:rsidP="00B76F9A">
            <w:pPr>
              <w:jc w:val="center"/>
              <w:rPr>
                <w:b/>
                <w:sz w:val="22"/>
                <w:szCs w:val="22"/>
              </w:rPr>
            </w:pPr>
            <w:r w:rsidRPr="00B32E8F">
              <w:rPr>
                <w:b/>
                <w:sz w:val="22"/>
                <w:szCs w:val="22"/>
              </w:rPr>
              <w:t>MASAT DHE AKTIVITETET</w:t>
            </w:r>
          </w:p>
        </w:tc>
        <w:tc>
          <w:tcPr>
            <w:tcW w:w="2067" w:type="dxa"/>
            <w:shd w:val="clear" w:color="auto" w:fill="C2D69B" w:themeFill="accent3" w:themeFillTint="99"/>
          </w:tcPr>
          <w:p w:rsidR="00B76F9A" w:rsidRPr="00B32E8F" w:rsidRDefault="00B76F9A" w:rsidP="00B76F9A">
            <w:pPr>
              <w:jc w:val="center"/>
              <w:rPr>
                <w:sz w:val="22"/>
                <w:szCs w:val="22"/>
              </w:rPr>
            </w:pPr>
            <w:r w:rsidRPr="00B32E8F">
              <w:rPr>
                <w:b/>
                <w:sz w:val="22"/>
                <w:szCs w:val="22"/>
              </w:rPr>
              <w:t>PRODUKTET</w:t>
            </w:r>
          </w:p>
        </w:tc>
        <w:tc>
          <w:tcPr>
            <w:tcW w:w="2067" w:type="dxa"/>
            <w:gridSpan w:val="2"/>
            <w:shd w:val="clear" w:color="auto" w:fill="C2D69B" w:themeFill="accent3" w:themeFillTint="99"/>
          </w:tcPr>
          <w:p w:rsidR="00B76F9A" w:rsidRPr="00B32E8F" w:rsidRDefault="00B76F9A" w:rsidP="00B76F9A">
            <w:pPr>
              <w:jc w:val="center"/>
              <w:rPr>
                <w:b/>
                <w:sz w:val="22"/>
                <w:szCs w:val="22"/>
              </w:rPr>
            </w:pPr>
            <w:r w:rsidRPr="00B32E8F">
              <w:rPr>
                <w:b/>
                <w:sz w:val="22"/>
                <w:szCs w:val="22"/>
              </w:rPr>
              <w:t>INSTITUCIONI PËRGJEGJËS</w:t>
            </w:r>
          </w:p>
        </w:tc>
        <w:tc>
          <w:tcPr>
            <w:tcW w:w="2520" w:type="dxa"/>
            <w:gridSpan w:val="2"/>
            <w:shd w:val="clear" w:color="auto" w:fill="C2D69B" w:themeFill="accent3" w:themeFillTint="99"/>
          </w:tcPr>
          <w:p w:rsidR="00B76F9A" w:rsidRPr="00B32E8F" w:rsidRDefault="00B76F9A" w:rsidP="00B76F9A">
            <w:pPr>
              <w:jc w:val="center"/>
              <w:rPr>
                <w:b/>
                <w:sz w:val="22"/>
                <w:szCs w:val="22"/>
              </w:rPr>
            </w:pPr>
            <w:r w:rsidRPr="00B32E8F">
              <w:rPr>
                <w:b/>
                <w:sz w:val="22"/>
                <w:szCs w:val="22"/>
              </w:rPr>
              <w:t>INSTITUCIONET PARTNERE</w:t>
            </w:r>
          </w:p>
        </w:tc>
        <w:tc>
          <w:tcPr>
            <w:tcW w:w="1765" w:type="dxa"/>
            <w:shd w:val="clear" w:color="auto" w:fill="C2D69B" w:themeFill="accent3" w:themeFillTint="99"/>
          </w:tcPr>
          <w:p w:rsidR="00B76F9A" w:rsidRPr="00B32E8F" w:rsidRDefault="00B76F9A" w:rsidP="00B76F9A">
            <w:pPr>
              <w:jc w:val="center"/>
              <w:rPr>
                <w:b/>
                <w:sz w:val="22"/>
                <w:szCs w:val="22"/>
              </w:rPr>
            </w:pPr>
            <w:r w:rsidRPr="00B32E8F">
              <w:rPr>
                <w:b/>
                <w:sz w:val="22"/>
                <w:szCs w:val="22"/>
              </w:rPr>
              <w:t>AFATI KOHOR</w:t>
            </w:r>
          </w:p>
        </w:tc>
      </w:tr>
      <w:tr w:rsidR="00B76F9A" w:rsidRPr="00265B92" w:rsidTr="00BA6EFB">
        <w:tc>
          <w:tcPr>
            <w:tcW w:w="9375" w:type="dxa"/>
            <w:gridSpan w:val="6"/>
            <w:shd w:val="clear" w:color="auto" w:fill="EAF1DD" w:themeFill="accent3" w:themeFillTint="33"/>
          </w:tcPr>
          <w:p w:rsidR="00B76F9A" w:rsidRPr="0005701D" w:rsidRDefault="00B76F9A" w:rsidP="00B76F9A">
            <w:pPr>
              <w:jc w:val="both"/>
              <w:rPr>
                <w:b/>
                <w:sz w:val="22"/>
                <w:szCs w:val="22"/>
              </w:rPr>
            </w:pPr>
            <w:r>
              <w:rPr>
                <w:b/>
                <w:sz w:val="22"/>
                <w:szCs w:val="22"/>
              </w:rPr>
              <w:lastRenderedPageBreak/>
              <w:t>I.3.1</w:t>
            </w:r>
            <w:r w:rsidRPr="0005701D">
              <w:rPr>
                <w:b/>
                <w:sz w:val="22"/>
                <w:szCs w:val="22"/>
              </w:rPr>
              <w:t>.</w:t>
            </w:r>
            <w:r>
              <w:rPr>
                <w:b/>
                <w:sz w:val="22"/>
                <w:szCs w:val="22"/>
              </w:rPr>
              <w:t xml:space="preserve"> </w:t>
            </w:r>
            <w:r>
              <w:rPr>
                <w:b/>
              </w:rPr>
              <w:t>Fuqizimi i kapaciteteve të profesionisteve dhe profesionistëve të shërbimit të kujdesit</w:t>
            </w:r>
            <w:r w:rsidRPr="001B1D14">
              <w:rPr>
                <w:b/>
              </w:rPr>
              <w:t xml:space="preserve"> shëndetësor</w:t>
            </w:r>
            <w:r>
              <w:rPr>
                <w:b/>
              </w:rPr>
              <w:t xml:space="preserve"> parësor, për trajtimin në mënyrën e duhur dhe ofrimin e shërbimeve shëndetësore cilësore për personat LGBTI+</w:t>
            </w:r>
          </w:p>
        </w:tc>
        <w:tc>
          <w:tcPr>
            <w:tcW w:w="2067" w:type="dxa"/>
            <w:gridSpan w:val="2"/>
            <w:shd w:val="clear" w:color="auto" w:fill="EAF1DD" w:themeFill="accent3" w:themeFillTint="33"/>
          </w:tcPr>
          <w:p w:rsidR="00B76F9A" w:rsidRPr="0005701D" w:rsidRDefault="00B76F9A" w:rsidP="00B76F9A">
            <w:pPr>
              <w:jc w:val="center"/>
              <w:rPr>
                <w:b/>
                <w:sz w:val="22"/>
                <w:szCs w:val="22"/>
                <w:lang w:val="en-US"/>
              </w:rPr>
            </w:pPr>
            <w:r w:rsidRPr="0005701D">
              <w:rPr>
                <w:b/>
                <w:sz w:val="22"/>
                <w:szCs w:val="22"/>
              </w:rPr>
              <w:t>MSHMS</w:t>
            </w:r>
          </w:p>
        </w:tc>
        <w:tc>
          <w:tcPr>
            <w:tcW w:w="2520" w:type="dxa"/>
            <w:gridSpan w:val="2"/>
            <w:shd w:val="clear" w:color="auto" w:fill="EAF1DD" w:themeFill="accent3" w:themeFillTint="33"/>
          </w:tcPr>
          <w:p w:rsidR="00B76F9A" w:rsidRPr="0005701D" w:rsidRDefault="00B76F9A" w:rsidP="00B76F9A">
            <w:pPr>
              <w:jc w:val="center"/>
              <w:rPr>
                <w:b/>
                <w:bCs/>
                <w:sz w:val="22"/>
                <w:szCs w:val="22"/>
                <w:lang w:val="en-US"/>
              </w:rPr>
            </w:pPr>
            <w:r>
              <w:rPr>
                <w:b/>
                <w:sz w:val="22"/>
                <w:szCs w:val="22"/>
              </w:rPr>
              <w:t>OSHKSH/NJVKSH, NJVV, OJF, Org. ndërkombëtare</w:t>
            </w:r>
          </w:p>
        </w:tc>
        <w:tc>
          <w:tcPr>
            <w:tcW w:w="1765" w:type="dxa"/>
            <w:shd w:val="clear" w:color="auto" w:fill="EAF1DD" w:themeFill="accent3" w:themeFillTint="33"/>
          </w:tcPr>
          <w:p w:rsidR="00B76F9A" w:rsidRPr="0005701D" w:rsidRDefault="00B76F9A" w:rsidP="00B76F9A">
            <w:pPr>
              <w:jc w:val="center"/>
              <w:rPr>
                <w:b/>
                <w:sz w:val="22"/>
                <w:szCs w:val="22"/>
                <w:lang w:val="en-US"/>
              </w:rPr>
            </w:pPr>
            <w:r w:rsidRPr="0005701D">
              <w:rPr>
                <w:b/>
                <w:sz w:val="22"/>
                <w:szCs w:val="22"/>
                <w:lang w:val="en-US"/>
              </w:rPr>
              <w:t>2022-2027</w:t>
            </w:r>
          </w:p>
        </w:tc>
      </w:tr>
      <w:tr w:rsidR="00B76F9A" w:rsidRPr="00265B92" w:rsidTr="00BA6EFB">
        <w:tc>
          <w:tcPr>
            <w:tcW w:w="7308" w:type="dxa"/>
            <w:gridSpan w:val="5"/>
            <w:shd w:val="clear" w:color="auto" w:fill="auto"/>
          </w:tcPr>
          <w:p w:rsidR="00B76F9A" w:rsidRPr="0005701D" w:rsidRDefault="00B402CA" w:rsidP="009E0AE0">
            <w:pPr>
              <w:jc w:val="both"/>
              <w:rPr>
                <w:i/>
                <w:sz w:val="22"/>
                <w:szCs w:val="22"/>
                <w:lang w:val="en-US"/>
              </w:rPr>
            </w:pPr>
            <w:r w:rsidRPr="00B402CA">
              <w:rPr>
                <w:i/>
                <w:sz w:val="22"/>
                <w:szCs w:val="22"/>
                <w:lang w:val="en-US"/>
              </w:rPr>
              <w:t>I.3.1.a. Rishikimi, përditësimi dhe akreditimi i modulit për trajnimin e profesionisteve dhe profesionistëve të kujdesit shëndetësor parësor, për çështjet LGBTI+</w:t>
            </w:r>
          </w:p>
        </w:tc>
        <w:tc>
          <w:tcPr>
            <w:tcW w:w="2067" w:type="dxa"/>
          </w:tcPr>
          <w:p w:rsidR="00B76F9A" w:rsidRPr="008060DA" w:rsidRDefault="009E0AE0" w:rsidP="008060DA">
            <w:pPr>
              <w:jc w:val="center"/>
              <w:rPr>
                <w:bCs/>
                <w:i/>
                <w:sz w:val="22"/>
                <w:szCs w:val="22"/>
                <w:lang w:val="en-US"/>
              </w:rPr>
            </w:pPr>
            <w:r w:rsidRPr="008060DA">
              <w:rPr>
                <w:bCs/>
                <w:i/>
                <w:sz w:val="22"/>
                <w:szCs w:val="22"/>
                <w:lang w:val="en-US"/>
              </w:rPr>
              <w:t>Moduli i akredit</w:t>
            </w:r>
            <w:r w:rsidR="008060DA">
              <w:rPr>
                <w:bCs/>
                <w:i/>
                <w:sz w:val="22"/>
                <w:szCs w:val="22"/>
                <w:lang w:val="en-US"/>
              </w:rPr>
              <w:t>u</w:t>
            </w:r>
            <w:r w:rsidRPr="008060DA">
              <w:rPr>
                <w:bCs/>
                <w:i/>
                <w:sz w:val="22"/>
                <w:szCs w:val="22"/>
                <w:lang w:val="en-US"/>
              </w:rPr>
              <w:t>ar</w:t>
            </w:r>
          </w:p>
        </w:tc>
        <w:tc>
          <w:tcPr>
            <w:tcW w:w="2067" w:type="dxa"/>
            <w:gridSpan w:val="2"/>
            <w:shd w:val="clear" w:color="auto" w:fill="auto"/>
          </w:tcPr>
          <w:p w:rsidR="00B76F9A" w:rsidRPr="00BE000A" w:rsidRDefault="00B76F9A" w:rsidP="00B76F9A">
            <w:pPr>
              <w:keepNext/>
              <w:keepLines/>
              <w:jc w:val="center"/>
              <w:outlineLvl w:val="0"/>
              <w:rPr>
                <w:i/>
                <w:iCs/>
                <w:sz w:val="22"/>
                <w:szCs w:val="22"/>
                <w:lang w:val="en-US"/>
              </w:rPr>
            </w:pPr>
            <w:bookmarkStart w:id="49" w:name="_Toc79509638"/>
            <w:r w:rsidRPr="00BE000A">
              <w:rPr>
                <w:i/>
                <w:iCs/>
                <w:sz w:val="22"/>
                <w:szCs w:val="22"/>
              </w:rPr>
              <w:t>MSHMS</w:t>
            </w:r>
            <w:bookmarkEnd w:id="49"/>
          </w:p>
        </w:tc>
        <w:tc>
          <w:tcPr>
            <w:tcW w:w="2520" w:type="dxa"/>
            <w:gridSpan w:val="2"/>
          </w:tcPr>
          <w:p w:rsidR="00B76F9A" w:rsidRPr="008060DA" w:rsidRDefault="009E0AE0" w:rsidP="00B76F9A">
            <w:pPr>
              <w:jc w:val="center"/>
              <w:rPr>
                <w:i/>
                <w:sz w:val="22"/>
                <w:szCs w:val="22"/>
                <w:lang w:val="en-US"/>
              </w:rPr>
            </w:pPr>
            <w:r w:rsidRPr="00BE000A">
              <w:rPr>
                <w:i/>
                <w:sz w:val="22"/>
                <w:szCs w:val="22"/>
              </w:rPr>
              <w:t>OSHKSH/NJVKSH, NJVV, OJF, Org. ndërkombëtare</w:t>
            </w:r>
          </w:p>
        </w:tc>
        <w:tc>
          <w:tcPr>
            <w:tcW w:w="1765" w:type="dxa"/>
          </w:tcPr>
          <w:p w:rsidR="009E0AE0" w:rsidRPr="008060DA" w:rsidRDefault="009E0AE0" w:rsidP="009E0AE0">
            <w:pPr>
              <w:jc w:val="center"/>
              <w:rPr>
                <w:i/>
                <w:sz w:val="22"/>
                <w:szCs w:val="22"/>
              </w:rPr>
            </w:pPr>
            <w:r w:rsidRPr="008060DA">
              <w:rPr>
                <w:i/>
                <w:sz w:val="22"/>
                <w:szCs w:val="22"/>
              </w:rPr>
              <w:t xml:space="preserve">6-M-II 2021 </w:t>
            </w:r>
          </w:p>
          <w:p w:rsidR="009E0AE0" w:rsidRPr="008060DA" w:rsidRDefault="009E0AE0" w:rsidP="009E0AE0">
            <w:pPr>
              <w:jc w:val="center"/>
              <w:rPr>
                <w:i/>
                <w:sz w:val="22"/>
                <w:szCs w:val="22"/>
              </w:rPr>
            </w:pPr>
            <w:r w:rsidRPr="008060DA">
              <w:rPr>
                <w:i/>
                <w:sz w:val="22"/>
                <w:szCs w:val="22"/>
              </w:rPr>
              <w:t xml:space="preserve">– </w:t>
            </w:r>
          </w:p>
          <w:p w:rsidR="00B76F9A" w:rsidRPr="008060DA" w:rsidRDefault="009E0AE0" w:rsidP="009E0AE0">
            <w:pPr>
              <w:jc w:val="center"/>
              <w:rPr>
                <w:i/>
                <w:sz w:val="22"/>
                <w:szCs w:val="22"/>
                <w:lang w:val="en-US"/>
              </w:rPr>
            </w:pPr>
            <w:r w:rsidRPr="008060DA">
              <w:rPr>
                <w:i/>
                <w:sz w:val="22"/>
                <w:szCs w:val="22"/>
              </w:rPr>
              <w:t>6-M-I 2022</w:t>
            </w:r>
          </w:p>
        </w:tc>
      </w:tr>
      <w:tr w:rsidR="00B76F9A" w:rsidRPr="00265B92" w:rsidTr="00BA6EFB">
        <w:tc>
          <w:tcPr>
            <w:tcW w:w="7308" w:type="dxa"/>
            <w:gridSpan w:val="5"/>
            <w:shd w:val="clear" w:color="auto" w:fill="auto"/>
          </w:tcPr>
          <w:p w:rsidR="00B76F9A" w:rsidRPr="0005701D" w:rsidRDefault="009E0AE0" w:rsidP="00B76F9A">
            <w:pPr>
              <w:jc w:val="both"/>
              <w:rPr>
                <w:i/>
                <w:sz w:val="22"/>
                <w:szCs w:val="22"/>
                <w:lang w:val="en-US"/>
              </w:rPr>
            </w:pPr>
            <w:r>
              <w:rPr>
                <w:i/>
                <w:sz w:val="22"/>
                <w:szCs w:val="22"/>
                <w:lang w:val="en-US"/>
              </w:rPr>
              <w:t>I.3.1.b. Trajnimi i profesionisteve dhe profesionist</w:t>
            </w:r>
            <w:r w:rsidR="00B402CA">
              <w:rPr>
                <w:i/>
                <w:sz w:val="22"/>
                <w:szCs w:val="22"/>
                <w:lang w:val="en-US"/>
              </w:rPr>
              <w:t>ë</w:t>
            </w:r>
            <w:r>
              <w:rPr>
                <w:i/>
                <w:sz w:val="22"/>
                <w:szCs w:val="22"/>
                <w:lang w:val="en-US"/>
              </w:rPr>
              <w:t>ve t</w:t>
            </w:r>
            <w:r w:rsidR="00B402CA">
              <w:rPr>
                <w:i/>
                <w:sz w:val="22"/>
                <w:szCs w:val="22"/>
                <w:lang w:val="en-US"/>
              </w:rPr>
              <w:t>ë</w:t>
            </w:r>
            <w:r>
              <w:rPr>
                <w:i/>
                <w:sz w:val="22"/>
                <w:szCs w:val="22"/>
                <w:lang w:val="en-US"/>
              </w:rPr>
              <w:t xml:space="preserve"> kujdesit sh</w:t>
            </w:r>
            <w:r w:rsidR="00B402CA">
              <w:rPr>
                <w:i/>
                <w:sz w:val="22"/>
                <w:szCs w:val="22"/>
                <w:lang w:val="en-US"/>
              </w:rPr>
              <w:t>ë</w:t>
            </w:r>
            <w:r>
              <w:rPr>
                <w:i/>
                <w:sz w:val="22"/>
                <w:szCs w:val="22"/>
                <w:lang w:val="en-US"/>
              </w:rPr>
              <w:t>ndet</w:t>
            </w:r>
            <w:r w:rsidR="00B402CA">
              <w:rPr>
                <w:i/>
                <w:sz w:val="22"/>
                <w:szCs w:val="22"/>
                <w:lang w:val="en-US"/>
              </w:rPr>
              <w:t>ë</w:t>
            </w:r>
            <w:r>
              <w:rPr>
                <w:i/>
                <w:sz w:val="22"/>
                <w:szCs w:val="22"/>
                <w:lang w:val="en-US"/>
              </w:rPr>
              <w:t>sor par</w:t>
            </w:r>
            <w:r w:rsidR="00B402CA">
              <w:rPr>
                <w:i/>
                <w:sz w:val="22"/>
                <w:szCs w:val="22"/>
                <w:lang w:val="en-US"/>
              </w:rPr>
              <w:t>ë</w:t>
            </w:r>
            <w:r>
              <w:rPr>
                <w:i/>
                <w:sz w:val="22"/>
                <w:szCs w:val="22"/>
                <w:lang w:val="en-US"/>
              </w:rPr>
              <w:t>sor, p</w:t>
            </w:r>
            <w:r w:rsidR="00B402CA">
              <w:rPr>
                <w:i/>
                <w:sz w:val="22"/>
                <w:szCs w:val="22"/>
                <w:lang w:val="en-US"/>
              </w:rPr>
              <w:t>ë</w:t>
            </w:r>
            <w:r>
              <w:rPr>
                <w:i/>
                <w:sz w:val="22"/>
                <w:szCs w:val="22"/>
                <w:lang w:val="en-US"/>
              </w:rPr>
              <w:t>r ç</w:t>
            </w:r>
            <w:r w:rsidR="00B402CA">
              <w:rPr>
                <w:i/>
                <w:sz w:val="22"/>
                <w:szCs w:val="22"/>
                <w:lang w:val="en-US"/>
              </w:rPr>
              <w:t>ë</w:t>
            </w:r>
            <w:r>
              <w:rPr>
                <w:i/>
                <w:sz w:val="22"/>
                <w:szCs w:val="22"/>
                <w:lang w:val="en-US"/>
              </w:rPr>
              <w:t>shtjet LGBTI+</w:t>
            </w:r>
          </w:p>
        </w:tc>
        <w:tc>
          <w:tcPr>
            <w:tcW w:w="2067" w:type="dxa"/>
          </w:tcPr>
          <w:p w:rsidR="00B76F9A" w:rsidRPr="008060DA" w:rsidRDefault="008060DA" w:rsidP="00B76F9A">
            <w:pPr>
              <w:jc w:val="center"/>
              <w:rPr>
                <w:bCs/>
                <w:i/>
                <w:sz w:val="22"/>
                <w:szCs w:val="22"/>
                <w:lang w:val="en-US"/>
              </w:rPr>
            </w:pPr>
            <w:r w:rsidRPr="008060DA">
              <w:rPr>
                <w:bCs/>
                <w:i/>
                <w:sz w:val="22"/>
                <w:szCs w:val="22"/>
                <w:lang w:val="en-US"/>
              </w:rPr>
              <w:t>360 profesioniste dhe profesionist</w:t>
            </w:r>
            <w:r w:rsidR="00B402CA">
              <w:rPr>
                <w:bCs/>
                <w:i/>
                <w:sz w:val="22"/>
                <w:szCs w:val="22"/>
                <w:lang w:val="en-US"/>
              </w:rPr>
              <w:t>ë</w:t>
            </w:r>
            <w:r w:rsidRPr="008060DA">
              <w:rPr>
                <w:bCs/>
                <w:i/>
                <w:sz w:val="22"/>
                <w:szCs w:val="22"/>
                <w:lang w:val="en-US"/>
              </w:rPr>
              <w:t xml:space="preserve"> t</w:t>
            </w:r>
            <w:r w:rsidR="00B402CA">
              <w:rPr>
                <w:bCs/>
                <w:i/>
                <w:sz w:val="22"/>
                <w:szCs w:val="22"/>
                <w:lang w:val="en-US"/>
              </w:rPr>
              <w:t>ë</w:t>
            </w:r>
            <w:r w:rsidRPr="008060DA">
              <w:rPr>
                <w:bCs/>
                <w:i/>
                <w:sz w:val="22"/>
                <w:szCs w:val="22"/>
                <w:lang w:val="en-US"/>
              </w:rPr>
              <w:t xml:space="preserve"> </w:t>
            </w:r>
            <w:r w:rsidR="00B402CA">
              <w:rPr>
                <w:bCs/>
                <w:i/>
                <w:sz w:val="22"/>
                <w:szCs w:val="22"/>
                <w:lang w:val="en-US"/>
              </w:rPr>
              <w:t>shëndetësisë të trajnuar ç</w:t>
            </w:r>
            <w:r w:rsidRPr="008060DA">
              <w:rPr>
                <w:bCs/>
                <w:i/>
                <w:sz w:val="22"/>
                <w:szCs w:val="22"/>
                <w:lang w:val="en-US"/>
              </w:rPr>
              <w:t>do vit</w:t>
            </w:r>
          </w:p>
        </w:tc>
        <w:tc>
          <w:tcPr>
            <w:tcW w:w="2067" w:type="dxa"/>
            <w:gridSpan w:val="2"/>
            <w:shd w:val="clear" w:color="auto" w:fill="auto"/>
          </w:tcPr>
          <w:p w:rsidR="00B76F9A" w:rsidRPr="00BE000A" w:rsidRDefault="008060DA" w:rsidP="00B76F9A">
            <w:pPr>
              <w:jc w:val="center"/>
              <w:rPr>
                <w:i/>
                <w:iCs/>
                <w:sz w:val="22"/>
                <w:szCs w:val="22"/>
                <w:lang w:val="en-US"/>
              </w:rPr>
            </w:pPr>
            <w:r w:rsidRPr="00BE000A">
              <w:rPr>
                <w:i/>
                <w:sz w:val="22"/>
                <w:szCs w:val="22"/>
              </w:rPr>
              <w:t>OSHKSH/ NJVKSH</w:t>
            </w:r>
          </w:p>
        </w:tc>
        <w:tc>
          <w:tcPr>
            <w:tcW w:w="2520" w:type="dxa"/>
            <w:gridSpan w:val="2"/>
          </w:tcPr>
          <w:p w:rsidR="00B76F9A" w:rsidRPr="008060DA" w:rsidRDefault="008060DA" w:rsidP="008060DA">
            <w:pPr>
              <w:jc w:val="center"/>
              <w:rPr>
                <w:bCs/>
                <w:i/>
                <w:sz w:val="22"/>
                <w:szCs w:val="22"/>
                <w:lang w:val="en-US"/>
              </w:rPr>
            </w:pPr>
            <w:r w:rsidRPr="00BE000A">
              <w:rPr>
                <w:i/>
                <w:iCs/>
                <w:sz w:val="22"/>
                <w:szCs w:val="22"/>
              </w:rPr>
              <w:t xml:space="preserve">MSHMS, </w:t>
            </w:r>
            <w:r w:rsidRPr="00BE000A">
              <w:rPr>
                <w:i/>
                <w:sz w:val="22"/>
                <w:szCs w:val="22"/>
              </w:rPr>
              <w:t>NJVV, OJF, Org. ndërkombëtare</w:t>
            </w:r>
          </w:p>
        </w:tc>
        <w:tc>
          <w:tcPr>
            <w:tcW w:w="1765" w:type="dxa"/>
          </w:tcPr>
          <w:p w:rsidR="008060DA" w:rsidRPr="00BD4B41" w:rsidRDefault="008060DA" w:rsidP="008060DA">
            <w:pPr>
              <w:jc w:val="center"/>
              <w:rPr>
                <w:i/>
                <w:sz w:val="22"/>
                <w:szCs w:val="22"/>
              </w:rPr>
            </w:pPr>
            <w:r w:rsidRPr="00BD4B41">
              <w:rPr>
                <w:i/>
                <w:sz w:val="22"/>
                <w:szCs w:val="22"/>
              </w:rPr>
              <w:t>6-M-II 202</w:t>
            </w:r>
            <w:r>
              <w:rPr>
                <w:i/>
                <w:sz w:val="22"/>
                <w:szCs w:val="22"/>
              </w:rPr>
              <w:t>2</w:t>
            </w:r>
            <w:r w:rsidRPr="00BD4B41">
              <w:rPr>
                <w:i/>
                <w:sz w:val="22"/>
                <w:szCs w:val="22"/>
              </w:rPr>
              <w:t xml:space="preserve"> </w:t>
            </w:r>
          </w:p>
          <w:p w:rsidR="008060DA" w:rsidRPr="00BD4B41" w:rsidRDefault="008060DA" w:rsidP="008060DA">
            <w:pPr>
              <w:jc w:val="center"/>
              <w:rPr>
                <w:i/>
                <w:sz w:val="22"/>
                <w:szCs w:val="22"/>
              </w:rPr>
            </w:pPr>
            <w:r w:rsidRPr="00BD4B41">
              <w:rPr>
                <w:i/>
                <w:sz w:val="22"/>
                <w:szCs w:val="22"/>
              </w:rPr>
              <w:t xml:space="preserve">– </w:t>
            </w:r>
          </w:p>
          <w:p w:rsidR="00B76F9A" w:rsidRPr="008060DA" w:rsidRDefault="008060DA" w:rsidP="008060DA">
            <w:pPr>
              <w:jc w:val="center"/>
              <w:rPr>
                <w:i/>
                <w:sz w:val="22"/>
                <w:szCs w:val="22"/>
                <w:lang w:val="en-US"/>
              </w:rPr>
            </w:pPr>
            <w:r w:rsidRPr="00BD4B41">
              <w:rPr>
                <w:i/>
                <w:sz w:val="22"/>
                <w:szCs w:val="22"/>
              </w:rPr>
              <w:t>6-M-I 202</w:t>
            </w:r>
            <w:r>
              <w:rPr>
                <w:i/>
                <w:sz w:val="22"/>
                <w:szCs w:val="22"/>
              </w:rPr>
              <w:t>7</w:t>
            </w:r>
          </w:p>
        </w:tc>
      </w:tr>
      <w:tr w:rsidR="00B76F9A" w:rsidRPr="00265B92" w:rsidTr="00BE000A">
        <w:trPr>
          <w:trHeight w:val="854"/>
        </w:trPr>
        <w:tc>
          <w:tcPr>
            <w:tcW w:w="9375" w:type="dxa"/>
            <w:gridSpan w:val="6"/>
            <w:tcBorders>
              <w:bottom w:val="single" w:sz="4" w:space="0" w:color="auto"/>
            </w:tcBorders>
            <w:shd w:val="clear" w:color="auto" w:fill="EAF1DD" w:themeFill="accent3" w:themeFillTint="33"/>
          </w:tcPr>
          <w:p w:rsidR="00B76F9A" w:rsidRPr="0005701D" w:rsidRDefault="008D682D" w:rsidP="00B76F9A">
            <w:pPr>
              <w:jc w:val="both"/>
              <w:rPr>
                <w:b/>
                <w:sz w:val="22"/>
                <w:szCs w:val="22"/>
              </w:rPr>
            </w:pPr>
            <w:r>
              <w:rPr>
                <w:b/>
                <w:sz w:val="22"/>
                <w:szCs w:val="22"/>
              </w:rPr>
              <w:t>I.3.2.</w:t>
            </w:r>
            <w:r w:rsidR="00DD78C5">
              <w:rPr>
                <w:b/>
                <w:sz w:val="22"/>
                <w:szCs w:val="22"/>
              </w:rPr>
              <w:t>Ofrimi i sh</w:t>
            </w:r>
            <w:r w:rsidR="008551B5">
              <w:rPr>
                <w:b/>
                <w:sz w:val="22"/>
                <w:szCs w:val="22"/>
              </w:rPr>
              <w:t>ë</w:t>
            </w:r>
            <w:r w:rsidR="00DD78C5">
              <w:rPr>
                <w:b/>
                <w:sz w:val="22"/>
                <w:szCs w:val="22"/>
              </w:rPr>
              <w:t>rbimeve miq</w:t>
            </w:r>
            <w:r w:rsidR="008551B5">
              <w:rPr>
                <w:b/>
                <w:sz w:val="22"/>
                <w:szCs w:val="22"/>
              </w:rPr>
              <w:t>ë</w:t>
            </w:r>
            <w:r w:rsidR="00DD78C5">
              <w:rPr>
                <w:b/>
                <w:sz w:val="22"/>
                <w:szCs w:val="22"/>
              </w:rPr>
              <w:t>sore, efektive dhe sipas standardeve p</w:t>
            </w:r>
            <w:r w:rsidR="008551B5">
              <w:rPr>
                <w:b/>
                <w:sz w:val="22"/>
                <w:szCs w:val="22"/>
              </w:rPr>
              <w:t>ë</w:t>
            </w:r>
            <w:r w:rsidR="00DD78C5">
              <w:rPr>
                <w:b/>
                <w:sz w:val="22"/>
                <w:szCs w:val="22"/>
              </w:rPr>
              <w:t>r personat LGBTI+, sidomos p</w:t>
            </w:r>
            <w:r w:rsidR="008551B5">
              <w:rPr>
                <w:b/>
                <w:sz w:val="22"/>
                <w:szCs w:val="22"/>
              </w:rPr>
              <w:t>ë</w:t>
            </w:r>
            <w:r w:rsidR="00DD78C5">
              <w:rPr>
                <w:b/>
                <w:sz w:val="22"/>
                <w:szCs w:val="22"/>
              </w:rPr>
              <w:t>r ata q</w:t>
            </w:r>
            <w:r w:rsidR="008551B5">
              <w:rPr>
                <w:b/>
                <w:sz w:val="22"/>
                <w:szCs w:val="22"/>
              </w:rPr>
              <w:t>ë</w:t>
            </w:r>
            <w:r w:rsidR="00DD78C5">
              <w:rPr>
                <w:b/>
                <w:sz w:val="22"/>
                <w:szCs w:val="22"/>
              </w:rPr>
              <w:t xml:space="preserve"> p</w:t>
            </w:r>
            <w:r w:rsidR="008551B5">
              <w:rPr>
                <w:b/>
                <w:sz w:val="22"/>
                <w:szCs w:val="22"/>
              </w:rPr>
              <w:t>ë</w:t>
            </w:r>
            <w:r w:rsidR="00DD78C5">
              <w:rPr>
                <w:b/>
                <w:sz w:val="22"/>
                <w:szCs w:val="22"/>
              </w:rPr>
              <w:t>sojn</w:t>
            </w:r>
            <w:r w:rsidR="008551B5">
              <w:rPr>
                <w:b/>
                <w:sz w:val="22"/>
                <w:szCs w:val="22"/>
              </w:rPr>
              <w:t>ë</w:t>
            </w:r>
            <w:r w:rsidR="00DD78C5">
              <w:rPr>
                <w:b/>
                <w:sz w:val="22"/>
                <w:szCs w:val="22"/>
              </w:rPr>
              <w:t xml:space="preserve"> diskriminim t</w:t>
            </w:r>
            <w:r w:rsidR="008551B5">
              <w:rPr>
                <w:b/>
                <w:sz w:val="22"/>
                <w:szCs w:val="22"/>
              </w:rPr>
              <w:t>ë</w:t>
            </w:r>
            <w:r w:rsidR="00DD78C5">
              <w:rPr>
                <w:b/>
                <w:sz w:val="22"/>
                <w:szCs w:val="22"/>
              </w:rPr>
              <w:t xml:space="preserve"> shum</w:t>
            </w:r>
            <w:r w:rsidR="008551B5">
              <w:rPr>
                <w:b/>
                <w:sz w:val="22"/>
                <w:szCs w:val="22"/>
              </w:rPr>
              <w:t>ë</w:t>
            </w:r>
            <w:r w:rsidR="00DD78C5">
              <w:rPr>
                <w:b/>
                <w:sz w:val="22"/>
                <w:szCs w:val="22"/>
              </w:rPr>
              <w:t>fisht</w:t>
            </w:r>
            <w:r w:rsidR="008551B5">
              <w:rPr>
                <w:b/>
                <w:sz w:val="22"/>
                <w:szCs w:val="22"/>
              </w:rPr>
              <w:t>ë</w:t>
            </w:r>
            <w:r w:rsidR="00DD78C5">
              <w:rPr>
                <w:b/>
                <w:sz w:val="22"/>
                <w:szCs w:val="22"/>
              </w:rPr>
              <w:t xml:space="preserve"> brenda k</w:t>
            </w:r>
            <w:r w:rsidR="008551B5">
              <w:rPr>
                <w:b/>
                <w:sz w:val="22"/>
                <w:szCs w:val="22"/>
              </w:rPr>
              <w:t>ë</w:t>
            </w:r>
            <w:r w:rsidR="00DD78C5">
              <w:rPr>
                <w:b/>
                <w:sz w:val="22"/>
                <w:szCs w:val="22"/>
              </w:rPr>
              <w:t>tij grupi</w:t>
            </w:r>
          </w:p>
          <w:p w:rsidR="00B76F9A" w:rsidRPr="0005701D" w:rsidRDefault="00B76F9A" w:rsidP="00B76F9A">
            <w:pPr>
              <w:jc w:val="both"/>
              <w:rPr>
                <w:b/>
                <w:iCs/>
                <w:sz w:val="22"/>
                <w:szCs w:val="22"/>
              </w:rPr>
            </w:pPr>
          </w:p>
          <w:p w:rsidR="00B76F9A" w:rsidRPr="0005701D" w:rsidRDefault="00B76F9A" w:rsidP="00B76F9A">
            <w:pPr>
              <w:jc w:val="both"/>
              <w:rPr>
                <w:b/>
                <w:iCs/>
                <w:sz w:val="22"/>
                <w:szCs w:val="22"/>
                <w:lang w:val="en-US"/>
              </w:rPr>
            </w:pPr>
          </w:p>
          <w:p w:rsidR="00B76F9A" w:rsidRPr="0005701D" w:rsidRDefault="00B76F9A" w:rsidP="00B76F9A">
            <w:pPr>
              <w:jc w:val="both"/>
              <w:rPr>
                <w:b/>
                <w:iCs/>
                <w:sz w:val="22"/>
                <w:szCs w:val="22"/>
                <w:lang w:val="en-US"/>
              </w:rPr>
            </w:pPr>
          </w:p>
        </w:tc>
        <w:tc>
          <w:tcPr>
            <w:tcW w:w="2067" w:type="dxa"/>
            <w:gridSpan w:val="2"/>
            <w:tcBorders>
              <w:bottom w:val="single" w:sz="4" w:space="0" w:color="auto"/>
            </w:tcBorders>
            <w:shd w:val="clear" w:color="auto" w:fill="EAF1DD" w:themeFill="accent3" w:themeFillTint="33"/>
          </w:tcPr>
          <w:p w:rsidR="00B76F9A" w:rsidRPr="0005701D" w:rsidRDefault="00B76F9A" w:rsidP="00B76F9A">
            <w:pPr>
              <w:jc w:val="center"/>
              <w:rPr>
                <w:b/>
                <w:sz w:val="22"/>
                <w:szCs w:val="22"/>
                <w:lang w:val="en-US"/>
              </w:rPr>
            </w:pPr>
            <w:r w:rsidRPr="0005701D">
              <w:rPr>
                <w:b/>
                <w:sz w:val="22"/>
                <w:szCs w:val="22"/>
              </w:rPr>
              <w:t xml:space="preserve">MSHMS </w:t>
            </w:r>
          </w:p>
        </w:tc>
        <w:tc>
          <w:tcPr>
            <w:tcW w:w="2520" w:type="dxa"/>
            <w:gridSpan w:val="2"/>
            <w:tcBorders>
              <w:bottom w:val="single" w:sz="4" w:space="0" w:color="auto"/>
            </w:tcBorders>
            <w:shd w:val="clear" w:color="auto" w:fill="EAF1DD" w:themeFill="accent3" w:themeFillTint="33"/>
          </w:tcPr>
          <w:p w:rsidR="00B76F9A" w:rsidRPr="0005701D" w:rsidRDefault="008D682D" w:rsidP="00B76F9A">
            <w:pPr>
              <w:jc w:val="center"/>
              <w:rPr>
                <w:b/>
                <w:bCs/>
                <w:sz w:val="22"/>
                <w:szCs w:val="22"/>
                <w:lang w:val="en-US"/>
              </w:rPr>
            </w:pPr>
            <w:r>
              <w:rPr>
                <w:b/>
                <w:sz w:val="22"/>
                <w:szCs w:val="22"/>
              </w:rPr>
              <w:t xml:space="preserve">KMD, AP, </w:t>
            </w:r>
            <w:r w:rsidR="00B76F9A" w:rsidRPr="0005701D">
              <w:rPr>
                <w:b/>
                <w:sz w:val="22"/>
                <w:szCs w:val="22"/>
              </w:rPr>
              <w:t>OJF-të</w:t>
            </w:r>
            <w:r w:rsidRPr="00BD4B41">
              <w:rPr>
                <w:i/>
                <w:sz w:val="22"/>
                <w:szCs w:val="22"/>
              </w:rPr>
              <w:t xml:space="preserve"> </w:t>
            </w:r>
            <w:r w:rsidRPr="00FF697C">
              <w:rPr>
                <w:b/>
                <w:i/>
                <w:sz w:val="22"/>
                <w:szCs w:val="22"/>
              </w:rPr>
              <w:t>Org. ndërkombëtare</w:t>
            </w:r>
          </w:p>
        </w:tc>
        <w:tc>
          <w:tcPr>
            <w:tcW w:w="1765" w:type="dxa"/>
            <w:tcBorders>
              <w:bottom w:val="single" w:sz="4" w:space="0" w:color="auto"/>
            </w:tcBorders>
            <w:shd w:val="clear" w:color="auto" w:fill="EAF1DD" w:themeFill="accent3" w:themeFillTint="33"/>
          </w:tcPr>
          <w:p w:rsidR="008D682D" w:rsidRPr="00BD4B41" w:rsidRDefault="008D682D" w:rsidP="008D682D">
            <w:pPr>
              <w:jc w:val="center"/>
              <w:rPr>
                <w:i/>
                <w:sz w:val="22"/>
                <w:szCs w:val="22"/>
              </w:rPr>
            </w:pPr>
            <w:r w:rsidRPr="00BD4B41">
              <w:rPr>
                <w:i/>
                <w:sz w:val="22"/>
                <w:szCs w:val="22"/>
              </w:rPr>
              <w:t>6-M-I 202</w:t>
            </w:r>
            <w:r>
              <w:rPr>
                <w:i/>
                <w:sz w:val="22"/>
                <w:szCs w:val="22"/>
              </w:rPr>
              <w:t>2</w:t>
            </w:r>
            <w:r w:rsidRPr="00BD4B41">
              <w:rPr>
                <w:i/>
                <w:sz w:val="22"/>
                <w:szCs w:val="22"/>
              </w:rPr>
              <w:t xml:space="preserve"> </w:t>
            </w:r>
          </w:p>
          <w:p w:rsidR="008D682D" w:rsidRPr="00BD4B41" w:rsidRDefault="008D682D" w:rsidP="008D682D">
            <w:pPr>
              <w:jc w:val="center"/>
              <w:rPr>
                <w:i/>
                <w:sz w:val="22"/>
                <w:szCs w:val="22"/>
              </w:rPr>
            </w:pPr>
            <w:r w:rsidRPr="00BD4B41">
              <w:rPr>
                <w:i/>
                <w:sz w:val="22"/>
                <w:szCs w:val="22"/>
              </w:rPr>
              <w:t xml:space="preserve">– </w:t>
            </w:r>
          </w:p>
          <w:p w:rsidR="00B76F9A" w:rsidRPr="0005701D" w:rsidRDefault="008D682D" w:rsidP="008D682D">
            <w:pPr>
              <w:jc w:val="center"/>
              <w:rPr>
                <w:b/>
                <w:sz w:val="22"/>
                <w:szCs w:val="22"/>
                <w:lang w:val="en-US"/>
              </w:rPr>
            </w:pPr>
            <w:r w:rsidRPr="00BD4B41">
              <w:rPr>
                <w:i/>
                <w:sz w:val="22"/>
                <w:szCs w:val="22"/>
              </w:rPr>
              <w:t>6-M-I</w:t>
            </w:r>
            <w:r>
              <w:rPr>
                <w:i/>
                <w:sz w:val="22"/>
                <w:szCs w:val="22"/>
              </w:rPr>
              <w:t>I</w:t>
            </w:r>
            <w:r w:rsidRPr="00BD4B41">
              <w:rPr>
                <w:i/>
                <w:sz w:val="22"/>
                <w:szCs w:val="22"/>
              </w:rPr>
              <w:t xml:space="preserve"> 202</w:t>
            </w:r>
            <w:r>
              <w:rPr>
                <w:i/>
                <w:sz w:val="22"/>
                <w:szCs w:val="22"/>
              </w:rPr>
              <w:t>2</w:t>
            </w:r>
          </w:p>
        </w:tc>
      </w:tr>
      <w:tr w:rsidR="00237C49" w:rsidRPr="00265B92" w:rsidTr="00BE000A">
        <w:tc>
          <w:tcPr>
            <w:tcW w:w="7308" w:type="dxa"/>
            <w:gridSpan w:val="5"/>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both"/>
              <w:rPr>
                <w:i/>
                <w:sz w:val="22"/>
                <w:szCs w:val="22"/>
                <w:lang w:val="en-US"/>
              </w:rPr>
            </w:pPr>
            <w:r>
              <w:rPr>
                <w:i/>
                <w:iCs/>
                <w:color w:val="000000"/>
              </w:rPr>
              <w:t>I.3.2.a. Hartimi dhe miratimi i një Protokoll Mjekësor Transgjinor</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bCs/>
                <w:i/>
                <w:sz w:val="22"/>
                <w:szCs w:val="22"/>
                <w:lang w:val="en-US"/>
              </w:rPr>
            </w:pPr>
            <w:r>
              <w:rPr>
                <w:i/>
                <w:iCs/>
                <w:color w:val="000000"/>
              </w:rPr>
              <w:t>Protokolli i miratuar</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i/>
                <w:iCs/>
                <w:sz w:val="22"/>
                <w:szCs w:val="22"/>
                <w:lang w:val="en-US"/>
              </w:rPr>
            </w:pPr>
            <w:r>
              <w:rPr>
                <w:i/>
                <w:iCs/>
                <w:color w:val="000000"/>
              </w:rPr>
              <w:t xml:space="preserve">MSHMS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Cs/>
                <w:i/>
                <w:sz w:val="22"/>
                <w:szCs w:val="22"/>
                <w:lang w:val="en-US"/>
              </w:rPr>
            </w:pPr>
            <w:r>
              <w:rPr>
                <w:i/>
                <w:iCs/>
                <w:color w:val="000000"/>
              </w:rPr>
              <w:t>OSHKSH/NJVKSH, NJVV, KMD, OJF, Org. ndërkombëtare</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i/>
                <w:sz w:val="22"/>
                <w:szCs w:val="22"/>
                <w:lang w:val="en-US"/>
              </w:rPr>
            </w:pPr>
            <w:r>
              <w:rPr>
                <w:i/>
                <w:iCs/>
                <w:color w:val="000000"/>
              </w:rPr>
              <w:t xml:space="preserve">6-M-I 2022 </w:t>
            </w:r>
            <w:r>
              <w:rPr>
                <w:i/>
                <w:iCs/>
                <w:color w:val="000000"/>
              </w:rPr>
              <w:br/>
              <w:t xml:space="preserve">– </w:t>
            </w:r>
            <w:r>
              <w:rPr>
                <w:i/>
                <w:iCs/>
                <w:color w:val="000000"/>
              </w:rPr>
              <w:br/>
              <w:t>6-M-II 2022</w:t>
            </w:r>
          </w:p>
        </w:tc>
      </w:tr>
      <w:tr w:rsidR="00237C49" w:rsidRPr="00265B92" w:rsidTr="00BE000A">
        <w:tc>
          <w:tcPr>
            <w:tcW w:w="7308" w:type="dxa"/>
            <w:gridSpan w:val="5"/>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both"/>
              <w:rPr>
                <w:i/>
                <w:sz w:val="22"/>
                <w:szCs w:val="22"/>
                <w:lang w:val="en-US"/>
              </w:rPr>
            </w:pPr>
            <w:r>
              <w:rPr>
                <w:i/>
                <w:iCs/>
                <w:color w:val="000000"/>
              </w:rPr>
              <w:t>I.3.2.b. Trajnimi i mjekeve dhe mjekëve obstetër-gjinekologë, andrologë, neonatë si  dhe mamive dhe mjekëve të familjes mbi zbatimin e dy protokolleve të miratuara</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Cs/>
                <w:i/>
                <w:sz w:val="22"/>
                <w:szCs w:val="22"/>
                <w:lang w:val="en-US"/>
              </w:rPr>
            </w:pPr>
            <w:r>
              <w:rPr>
                <w:i/>
                <w:iCs/>
                <w:color w:val="000000"/>
              </w:rPr>
              <w:t>rreth 1500 profesionistë të trajnuar</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i/>
                <w:iCs/>
                <w:sz w:val="22"/>
                <w:szCs w:val="22"/>
                <w:lang w:val="en-US"/>
              </w:rPr>
            </w:pPr>
            <w:r>
              <w:rPr>
                <w:i/>
                <w:iCs/>
                <w:color w:val="000000"/>
              </w:rPr>
              <w:t>OSHKSH /NJVKSH</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rPr>
                <w:b/>
                <w:bCs/>
                <w:i/>
                <w:sz w:val="22"/>
                <w:szCs w:val="22"/>
                <w:lang w:val="en-US"/>
              </w:rPr>
            </w:pPr>
            <w:r>
              <w:rPr>
                <w:i/>
                <w:iCs/>
                <w:color w:val="000000"/>
              </w:rPr>
              <w:t>MSHMS, NJVV, OJF, Org. ndërkombëtare</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i/>
                <w:sz w:val="22"/>
                <w:szCs w:val="22"/>
                <w:lang w:val="en-US"/>
              </w:rPr>
            </w:pPr>
            <w:r>
              <w:rPr>
                <w:i/>
                <w:iCs/>
                <w:color w:val="000000"/>
              </w:rPr>
              <w:t>6-M-I 2023</w:t>
            </w:r>
            <w:r>
              <w:rPr>
                <w:i/>
                <w:iCs/>
                <w:color w:val="000000"/>
              </w:rPr>
              <w:br/>
              <w:t xml:space="preserve">– </w:t>
            </w:r>
            <w:r>
              <w:rPr>
                <w:i/>
                <w:iCs/>
                <w:color w:val="000000"/>
              </w:rPr>
              <w:br/>
              <w:t>6-M-II 2027</w:t>
            </w:r>
          </w:p>
        </w:tc>
      </w:tr>
      <w:tr w:rsidR="00237C49" w:rsidRPr="00265B92" w:rsidTr="00BE000A">
        <w:tc>
          <w:tcPr>
            <w:tcW w:w="7308" w:type="dxa"/>
            <w:gridSpan w:val="5"/>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rPr>
                <w:rFonts w:eastAsiaTheme="minorHAnsi"/>
                <w:sz w:val="22"/>
                <w:szCs w:val="22"/>
                <w:lang w:val="en-US" w:eastAsia="en-US"/>
              </w:rPr>
            </w:pPr>
            <w:r>
              <w:rPr>
                <w:i/>
                <w:iCs/>
                <w:color w:val="000000"/>
              </w:rPr>
              <w:t>I.3.2.c. Përditësimi i dokumentacionit adminsitrativ shëndetësor në përputhje me standardet ndërkombëtare: vendosja e kodeve në mënyrë të unfikuar sipas kodifikimit ndërkombëtar të sëmundjeve ICD-X</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Cs/>
                <w:i/>
                <w:sz w:val="22"/>
                <w:szCs w:val="22"/>
                <w:lang w:val="en-US"/>
              </w:rPr>
            </w:pPr>
            <w:r>
              <w:rPr>
                <w:i/>
                <w:iCs/>
                <w:color w:val="000000"/>
              </w:rPr>
              <w:t>Dokumentacioni admionistrativ shëndetsor i përditësuar dhe unifikuar</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i/>
                <w:iCs/>
                <w:sz w:val="22"/>
                <w:szCs w:val="22"/>
                <w:lang w:val="en-US"/>
              </w:rPr>
            </w:pPr>
            <w:r>
              <w:rPr>
                <w:i/>
                <w:iCs/>
                <w:color w:val="000000"/>
              </w:rPr>
              <w:t>MSHMS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bCs/>
                <w:i/>
                <w:sz w:val="22"/>
                <w:szCs w:val="22"/>
                <w:lang w:val="en-US"/>
              </w:rPr>
            </w:pPr>
            <w:r>
              <w:rPr>
                <w:i/>
                <w:iCs/>
                <w:color w:val="000000"/>
              </w:rPr>
              <w:t>NJVKSH, QSUT, QSUOGJ, OJF, Org. ndërkombëtare</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i/>
                <w:sz w:val="22"/>
                <w:szCs w:val="22"/>
                <w:lang w:val="en-US"/>
              </w:rPr>
            </w:pPr>
            <w:r>
              <w:rPr>
                <w:i/>
                <w:iCs/>
                <w:color w:val="000000"/>
              </w:rPr>
              <w:t>6-M-II 2022</w:t>
            </w:r>
            <w:r>
              <w:rPr>
                <w:i/>
                <w:iCs/>
                <w:color w:val="000000"/>
              </w:rPr>
              <w:br/>
              <w:t xml:space="preserve">– </w:t>
            </w:r>
            <w:r>
              <w:rPr>
                <w:i/>
                <w:iCs/>
                <w:color w:val="000000"/>
              </w:rPr>
              <w:br/>
              <w:t>6-M-I 2023</w:t>
            </w:r>
          </w:p>
        </w:tc>
      </w:tr>
      <w:tr w:rsidR="00237C49" w:rsidRPr="00265B92" w:rsidTr="00BE000A">
        <w:tc>
          <w:tcPr>
            <w:tcW w:w="7308" w:type="dxa"/>
            <w:gridSpan w:val="5"/>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shd w:val="clear" w:color="auto" w:fill="FFFFFF"/>
              <w:jc w:val="both"/>
              <w:outlineLvl w:val="3"/>
              <w:rPr>
                <w:rFonts w:eastAsiaTheme="minorHAnsi"/>
                <w:i/>
                <w:color w:val="000000" w:themeColor="text1"/>
                <w:sz w:val="22"/>
                <w:szCs w:val="22"/>
                <w:lang w:eastAsia="en-US"/>
              </w:rPr>
            </w:pPr>
            <w:r>
              <w:rPr>
                <w:i/>
                <w:iCs/>
                <w:color w:val="000000"/>
              </w:rPr>
              <w:t>I.3.2.d. Grumbullim sistematik i dedikuar të dhënash sipas formularëve të përditësuar</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Cs/>
                <w:i/>
                <w:sz w:val="22"/>
                <w:szCs w:val="22"/>
                <w:lang w:val="en-US"/>
              </w:rPr>
            </w:pPr>
            <w:r>
              <w:rPr>
                <w:i/>
                <w:iCs/>
                <w:color w:val="000000"/>
              </w:rPr>
              <w:t>Të dhëna mbi situatën shëndetësore të personave LGBTI+ të përditësuara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i/>
                <w:iCs/>
                <w:sz w:val="22"/>
                <w:szCs w:val="22"/>
                <w:lang w:val="en-US"/>
              </w:rPr>
            </w:pPr>
            <w:r>
              <w:rPr>
                <w:i/>
                <w:iCs/>
                <w:color w:val="000000"/>
              </w:rPr>
              <w:t>MSHMS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bCs/>
                <w:i/>
                <w:sz w:val="22"/>
                <w:szCs w:val="22"/>
                <w:lang w:val="en-US"/>
              </w:rPr>
            </w:pPr>
            <w:r>
              <w:rPr>
                <w:i/>
                <w:iCs/>
                <w:color w:val="000000"/>
              </w:rPr>
              <w:t>NJVKSH, QSUT, QSUOGJ, OJF, Org. ndërkombëtare</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i/>
                <w:sz w:val="22"/>
                <w:szCs w:val="22"/>
                <w:lang w:val="en-US"/>
              </w:rPr>
            </w:pPr>
            <w:r>
              <w:rPr>
                <w:i/>
                <w:iCs/>
                <w:color w:val="000000"/>
              </w:rPr>
              <w:t>6-M-II 2023</w:t>
            </w:r>
            <w:r>
              <w:rPr>
                <w:i/>
                <w:iCs/>
                <w:color w:val="000000"/>
              </w:rPr>
              <w:br/>
              <w:t xml:space="preserve">– </w:t>
            </w:r>
            <w:r>
              <w:rPr>
                <w:i/>
                <w:iCs/>
                <w:color w:val="000000"/>
              </w:rPr>
              <w:br/>
              <w:t>6-M-I 2027</w:t>
            </w:r>
          </w:p>
        </w:tc>
      </w:tr>
      <w:tr w:rsidR="00237C49" w:rsidRPr="00265B92" w:rsidTr="00BE000A">
        <w:tc>
          <w:tcPr>
            <w:tcW w:w="7308" w:type="dxa"/>
            <w:gridSpan w:val="5"/>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both"/>
              <w:rPr>
                <w:i/>
                <w:color w:val="000000" w:themeColor="text1"/>
                <w:sz w:val="22"/>
                <w:szCs w:val="22"/>
                <w:lang w:val="en-US"/>
              </w:rPr>
            </w:pPr>
            <w:r>
              <w:rPr>
                <w:i/>
                <w:iCs/>
                <w:color w:val="000000"/>
              </w:rPr>
              <w:t xml:space="preserve">I.3.2.e. Kryerja e testimeve për personat LGBTI+ për SST dhe HIV, në  </w:t>
            </w:r>
            <w:r>
              <w:rPr>
                <w:i/>
                <w:iCs/>
                <w:color w:val="000000"/>
              </w:rPr>
              <w:lastRenderedPageBreak/>
              <w:t>mënyrë anonime në mbarë vendin.</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Cs/>
                <w:i/>
                <w:sz w:val="22"/>
                <w:szCs w:val="22"/>
                <w:lang w:val="en-US"/>
              </w:rPr>
            </w:pPr>
            <w:r>
              <w:rPr>
                <w:i/>
                <w:iCs/>
                <w:color w:val="000000"/>
              </w:rPr>
              <w:lastRenderedPageBreak/>
              <w:t xml:space="preserve">Numri i testeve për </w:t>
            </w:r>
            <w:r>
              <w:rPr>
                <w:i/>
                <w:iCs/>
                <w:color w:val="000000"/>
              </w:rPr>
              <w:lastRenderedPageBreak/>
              <w:t>SST dhe HIV për personat LGBTI+</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i/>
                <w:iCs/>
                <w:sz w:val="22"/>
                <w:szCs w:val="22"/>
                <w:lang w:val="en-US"/>
              </w:rPr>
            </w:pPr>
            <w:r>
              <w:rPr>
                <w:i/>
                <w:iCs/>
                <w:color w:val="000000"/>
              </w:rPr>
              <w:lastRenderedPageBreak/>
              <w:t>MSHMS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b/>
                <w:bCs/>
                <w:i/>
                <w:sz w:val="22"/>
                <w:szCs w:val="22"/>
                <w:lang w:val="en-US"/>
              </w:rPr>
            </w:pPr>
            <w:r>
              <w:rPr>
                <w:i/>
                <w:iCs/>
                <w:color w:val="000000"/>
              </w:rPr>
              <w:t xml:space="preserve">Njësitë vendore të </w:t>
            </w:r>
            <w:r>
              <w:rPr>
                <w:i/>
                <w:iCs/>
                <w:color w:val="000000"/>
              </w:rPr>
              <w:lastRenderedPageBreak/>
              <w:t>kujdesit shëndetësor, OJF-të</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237C49" w:rsidRPr="0005701D" w:rsidRDefault="00237C49" w:rsidP="00237C49">
            <w:pPr>
              <w:jc w:val="center"/>
              <w:rPr>
                <w:i/>
                <w:sz w:val="22"/>
                <w:szCs w:val="22"/>
                <w:lang w:val="en-US"/>
              </w:rPr>
            </w:pPr>
            <w:r>
              <w:rPr>
                <w:i/>
                <w:iCs/>
                <w:color w:val="000000"/>
              </w:rPr>
              <w:lastRenderedPageBreak/>
              <w:t>6-M-II 2021</w:t>
            </w:r>
            <w:r>
              <w:rPr>
                <w:i/>
                <w:iCs/>
                <w:color w:val="000000"/>
              </w:rPr>
              <w:br/>
            </w:r>
            <w:r>
              <w:rPr>
                <w:i/>
                <w:iCs/>
                <w:color w:val="000000"/>
              </w:rPr>
              <w:lastRenderedPageBreak/>
              <w:t xml:space="preserve">– </w:t>
            </w:r>
            <w:r>
              <w:rPr>
                <w:i/>
                <w:iCs/>
                <w:color w:val="000000"/>
              </w:rPr>
              <w:br/>
              <w:t>6-M-II 2027</w:t>
            </w:r>
          </w:p>
        </w:tc>
      </w:tr>
      <w:tr w:rsidR="00B76F9A" w:rsidRPr="00265B92" w:rsidTr="00BA6EFB">
        <w:tc>
          <w:tcPr>
            <w:tcW w:w="2067" w:type="dxa"/>
            <w:shd w:val="clear" w:color="auto" w:fill="FBD4B4" w:themeFill="accent6" w:themeFillTint="66"/>
          </w:tcPr>
          <w:p w:rsidR="00B76F9A" w:rsidRPr="0005701D" w:rsidRDefault="00B76F9A" w:rsidP="00B76F9A">
            <w:pPr>
              <w:rPr>
                <w:b/>
                <w:sz w:val="22"/>
                <w:szCs w:val="22"/>
              </w:rPr>
            </w:pPr>
            <w:r w:rsidRPr="0005701D">
              <w:rPr>
                <w:b/>
                <w:sz w:val="22"/>
                <w:szCs w:val="22"/>
              </w:rPr>
              <w:lastRenderedPageBreak/>
              <w:t>Objektivi specifik I.</w:t>
            </w:r>
            <w:r w:rsidR="00237C49">
              <w:rPr>
                <w:b/>
                <w:sz w:val="22"/>
                <w:szCs w:val="22"/>
              </w:rPr>
              <w:t>4</w:t>
            </w:r>
            <w:r w:rsidRPr="0005701D">
              <w:rPr>
                <w:b/>
                <w:sz w:val="22"/>
                <w:szCs w:val="22"/>
              </w:rPr>
              <w:t>:</w:t>
            </w:r>
          </w:p>
        </w:tc>
        <w:tc>
          <w:tcPr>
            <w:tcW w:w="13660" w:type="dxa"/>
            <w:gridSpan w:val="10"/>
            <w:shd w:val="clear" w:color="auto" w:fill="FBD4B4" w:themeFill="accent6" w:themeFillTint="66"/>
          </w:tcPr>
          <w:p w:rsidR="00B76F9A" w:rsidRPr="0005701D" w:rsidRDefault="00FE6E3C" w:rsidP="00B76F9A">
            <w:pPr>
              <w:rPr>
                <w:b/>
                <w:sz w:val="22"/>
                <w:szCs w:val="22"/>
              </w:rPr>
            </w:pPr>
            <w:r w:rsidRPr="00FE6E3C">
              <w:rPr>
                <w:b/>
                <w:sz w:val="22"/>
                <w:szCs w:val="22"/>
              </w:rPr>
              <w:t>Zvogëlimi i barrierave që i mbajnë personat  LGBTI+ larg tregut të punës si dhe rritja e aksesit të tyre për punë të denjë edhe në sektorët jo-tradicionalë të punësimit, (në veçanti në shkencë, teknologji, inxhinieri, matematikë).</w:t>
            </w:r>
          </w:p>
        </w:tc>
      </w:tr>
      <w:tr w:rsidR="00B76F9A" w:rsidRPr="00265B92" w:rsidTr="00BA6EFB">
        <w:tc>
          <w:tcPr>
            <w:tcW w:w="2067" w:type="dxa"/>
            <w:shd w:val="clear" w:color="auto" w:fill="FDE9D9" w:themeFill="accent6" w:themeFillTint="33"/>
          </w:tcPr>
          <w:p w:rsidR="00B76F9A" w:rsidRPr="0005701D" w:rsidRDefault="00B76F9A" w:rsidP="00B76F9A">
            <w:pPr>
              <w:rPr>
                <w:b/>
                <w:sz w:val="22"/>
                <w:szCs w:val="22"/>
                <w:u w:val="single"/>
                <w:lang w:val="en-US"/>
              </w:rPr>
            </w:pPr>
            <w:r w:rsidRPr="0005701D">
              <w:rPr>
                <w:b/>
                <w:bCs/>
                <w:sz w:val="22"/>
                <w:szCs w:val="22"/>
                <w:u w:val="single"/>
              </w:rPr>
              <w:t xml:space="preserve">Rezultatet e pritshme: </w:t>
            </w:r>
          </w:p>
          <w:p w:rsidR="00B76F9A" w:rsidRPr="0005701D" w:rsidRDefault="00B76F9A" w:rsidP="00B76F9A">
            <w:pPr>
              <w:rPr>
                <w:b/>
                <w:bCs/>
                <w:sz w:val="22"/>
                <w:szCs w:val="22"/>
                <w:u w:val="single"/>
              </w:rPr>
            </w:pPr>
          </w:p>
        </w:tc>
        <w:tc>
          <w:tcPr>
            <w:tcW w:w="13660" w:type="dxa"/>
            <w:gridSpan w:val="10"/>
            <w:shd w:val="clear" w:color="auto" w:fill="FDE9D9" w:themeFill="accent6" w:themeFillTint="33"/>
          </w:tcPr>
          <w:p w:rsidR="00FE6E3C" w:rsidRDefault="00FE6E3C" w:rsidP="00B76F9A">
            <w:pPr>
              <w:ind w:left="720" w:hanging="720"/>
              <w:jc w:val="both"/>
              <w:rPr>
                <w:bCs/>
                <w:sz w:val="22"/>
                <w:szCs w:val="22"/>
              </w:rPr>
            </w:pPr>
            <w:r w:rsidRPr="00FE6E3C">
              <w:rPr>
                <w:bCs/>
                <w:sz w:val="22"/>
                <w:szCs w:val="22"/>
              </w:rPr>
              <w:t>i. Shërbimet e punësimit dhe formimit profesional më miqësore dhe gjithëpërfshirëse edhe për personat LGBTI+</w:t>
            </w:r>
          </w:p>
          <w:p w:rsidR="00FF697C" w:rsidRDefault="00FF697C" w:rsidP="00B76F9A">
            <w:pPr>
              <w:ind w:left="720" w:hanging="720"/>
              <w:jc w:val="both"/>
              <w:rPr>
                <w:bCs/>
                <w:sz w:val="22"/>
                <w:szCs w:val="22"/>
              </w:rPr>
            </w:pPr>
          </w:p>
          <w:p w:rsidR="00B76F9A" w:rsidRPr="00FF697C" w:rsidRDefault="00FE6E3C" w:rsidP="00FF697C">
            <w:pPr>
              <w:ind w:left="720" w:hanging="720"/>
              <w:jc w:val="both"/>
              <w:rPr>
                <w:bCs/>
                <w:sz w:val="22"/>
                <w:szCs w:val="22"/>
              </w:rPr>
            </w:pPr>
            <w:r w:rsidRPr="00FE6E3C">
              <w:rPr>
                <w:bCs/>
                <w:sz w:val="22"/>
                <w:szCs w:val="22"/>
              </w:rPr>
              <w:t>ii. Më shumë persona LGBTI+ të përfshirë në tregune  punës dhe të stimuluar për zhvillimin e ideve inovative të lidhur me ekonominë mjedisore dhe dixhitalizimin</w:t>
            </w:r>
          </w:p>
        </w:tc>
      </w:tr>
      <w:tr w:rsidR="00B76F9A" w:rsidRPr="00265B92" w:rsidTr="00BA6EFB">
        <w:tc>
          <w:tcPr>
            <w:tcW w:w="2067" w:type="dxa"/>
            <w:shd w:val="clear" w:color="auto" w:fill="FDE9D9" w:themeFill="accent6" w:themeFillTint="33"/>
          </w:tcPr>
          <w:p w:rsidR="00B76F9A" w:rsidRPr="0005701D" w:rsidRDefault="00B76F9A" w:rsidP="00B76F9A">
            <w:pPr>
              <w:rPr>
                <w:b/>
                <w:bCs/>
                <w:sz w:val="22"/>
                <w:szCs w:val="22"/>
              </w:rPr>
            </w:pPr>
            <w:r w:rsidRPr="0005701D">
              <w:rPr>
                <w:b/>
                <w:bCs/>
                <w:sz w:val="22"/>
                <w:szCs w:val="22"/>
              </w:rPr>
              <w:t>Treguesit</w:t>
            </w:r>
          </w:p>
        </w:tc>
        <w:tc>
          <w:tcPr>
            <w:tcW w:w="9363" w:type="dxa"/>
            <w:gridSpan w:val="6"/>
            <w:shd w:val="clear" w:color="auto" w:fill="FDE9D9" w:themeFill="accent6" w:themeFillTint="33"/>
          </w:tcPr>
          <w:p w:rsidR="00FE6E3C" w:rsidRDefault="00FE6E3C" w:rsidP="00B76F9A">
            <w:pPr>
              <w:ind w:left="720" w:hanging="720"/>
              <w:jc w:val="both"/>
              <w:rPr>
                <w:sz w:val="22"/>
                <w:szCs w:val="22"/>
              </w:rPr>
            </w:pPr>
          </w:p>
          <w:p w:rsidR="00FE6E3C" w:rsidRDefault="00FE6E3C" w:rsidP="00B76F9A">
            <w:pPr>
              <w:ind w:left="720" w:hanging="720"/>
              <w:jc w:val="both"/>
              <w:rPr>
                <w:sz w:val="22"/>
                <w:szCs w:val="22"/>
              </w:rPr>
            </w:pPr>
            <w:r w:rsidRPr="00FE6E3C">
              <w:rPr>
                <w:sz w:val="22"/>
                <w:szCs w:val="22"/>
              </w:rPr>
              <w:t>I.4.a. Numri i punonjëseve dhe punonjësve të shërbimeve në fushën e punësimit të trajnuar dhe përgatitur për ofrimin e shërbimeve të punësimit në mënyrë jo-diskriminuese për personat LGBTI+</w:t>
            </w:r>
          </w:p>
          <w:p w:rsidR="00FE6E3C" w:rsidRDefault="00FE6E3C" w:rsidP="00B76F9A">
            <w:pPr>
              <w:ind w:left="720" w:hanging="720"/>
              <w:jc w:val="both"/>
              <w:rPr>
                <w:sz w:val="22"/>
                <w:szCs w:val="22"/>
              </w:rPr>
            </w:pPr>
          </w:p>
          <w:p w:rsidR="00FE6E3C" w:rsidRDefault="00FE6E3C" w:rsidP="00B76F9A">
            <w:pPr>
              <w:ind w:left="720" w:hanging="720"/>
              <w:jc w:val="both"/>
              <w:rPr>
                <w:sz w:val="22"/>
                <w:szCs w:val="22"/>
              </w:rPr>
            </w:pPr>
          </w:p>
          <w:p w:rsidR="00B76F9A" w:rsidRPr="0005701D" w:rsidRDefault="00FE6E3C" w:rsidP="00B76F9A">
            <w:pPr>
              <w:ind w:left="720" w:hanging="720"/>
              <w:jc w:val="both"/>
              <w:rPr>
                <w:sz w:val="22"/>
                <w:szCs w:val="22"/>
              </w:rPr>
            </w:pPr>
            <w:r w:rsidRPr="00FE6E3C">
              <w:rPr>
                <w:sz w:val="22"/>
                <w:szCs w:val="22"/>
              </w:rPr>
              <w:t>I.4.b. Numri i personave LGBTI+ të subvencionuar për zhvillimin e ideve inovatore me fookus tek dixhitalizimi dhe ekonomia mjedisore</w:t>
            </w:r>
          </w:p>
        </w:tc>
        <w:tc>
          <w:tcPr>
            <w:tcW w:w="2520" w:type="dxa"/>
            <w:gridSpan w:val="2"/>
            <w:shd w:val="clear" w:color="auto" w:fill="FDE9D9" w:themeFill="accent6" w:themeFillTint="33"/>
          </w:tcPr>
          <w:p w:rsidR="00B76F9A" w:rsidRPr="0005701D" w:rsidRDefault="00B76F9A" w:rsidP="00FE6E3C">
            <w:pPr>
              <w:jc w:val="center"/>
              <w:rPr>
                <w:bCs/>
                <w:sz w:val="22"/>
                <w:szCs w:val="22"/>
                <w:u w:val="single"/>
              </w:rPr>
            </w:pPr>
            <w:r w:rsidRPr="0005701D">
              <w:rPr>
                <w:bCs/>
                <w:sz w:val="22"/>
                <w:szCs w:val="22"/>
                <w:u w:val="single"/>
              </w:rPr>
              <w:t>Baseline:</w:t>
            </w:r>
          </w:p>
          <w:p w:rsidR="00FE6E3C" w:rsidRDefault="00FE6E3C" w:rsidP="00BE000A">
            <w:pPr>
              <w:jc w:val="center"/>
              <w:rPr>
                <w:i/>
                <w:iCs/>
                <w:color w:val="000000"/>
                <w:sz w:val="22"/>
                <w:szCs w:val="22"/>
              </w:rPr>
            </w:pPr>
            <w:r w:rsidRPr="00FE6E3C">
              <w:rPr>
                <w:i/>
                <w:iCs/>
                <w:color w:val="000000"/>
                <w:sz w:val="22"/>
                <w:szCs w:val="22"/>
              </w:rPr>
              <w:t>Do përcaktohet në vitin 2022</w:t>
            </w:r>
          </w:p>
          <w:p w:rsidR="00FE6E3C" w:rsidRDefault="00FE6E3C" w:rsidP="00BE000A">
            <w:pPr>
              <w:jc w:val="center"/>
              <w:rPr>
                <w:i/>
                <w:iCs/>
                <w:color w:val="000000"/>
                <w:sz w:val="22"/>
                <w:szCs w:val="22"/>
              </w:rPr>
            </w:pPr>
          </w:p>
          <w:p w:rsidR="00FE6E3C" w:rsidRDefault="00FE6E3C" w:rsidP="00BE000A">
            <w:pPr>
              <w:jc w:val="center"/>
              <w:rPr>
                <w:i/>
                <w:iCs/>
                <w:color w:val="000000"/>
                <w:sz w:val="22"/>
                <w:szCs w:val="22"/>
              </w:rPr>
            </w:pPr>
          </w:p>
          <w:p w:rsidR="00B76F9A" w:rsidRPr="0005701D" w:rsidRDefault="00FE6E3C" w:rsidP="00BE000A">
            <w:pPr>
              <w:jc w:val="center"/>
              <w:rPr>
                <w:bCs/>
                <w:sz w:val="22"/>
                <w:szCs w:val="22"/>
              </w:rPr>
            </w:pPr>
            <w:r>
              <w:rPr>
                <w:i/>
                <w:iCs/>
                <w:color w:val="000000"/>
                <w:sz w:val="22"/>
                <w:szCs w:val="22"/>
              </w:rPr>
              <w:t>0 (2021)</w:t>
            </w:r>
          </w:p>
        </w:tc>
        <w:tc>
          <w:tcPr>
            <w:tcW w:w="1777" w:type="dxa"/>
            <w:gridSpan w:val="2"/>
            <w:shd w:val="clear" w:color="auto" w:fill="FDE9D9" w:themeFill="accent6" w:themeFillTint="33"/>
          </w:tcPr>
          <w:p w:rsidR="00B76F9A" w:rsidRPr="0005701D" w:rsidRDefault="00B76F9A" w:rsidP="00FE6E3C">
            <w:pPr>
              <w:jc w:val="center"/>
              <w:rPr>
                <w:bCs/>
                <w:sz w:val="22"/>
                <w:szCs w:val="22"/>
                <w:u w:val="single"/>
              </w:rPr>
            </w:pPr>
            <w:r w:rsidRPr="0005701D">
              <w:rPr>
                <w:bCs/>
                <w:sz w:val="22"/>
                <w:szCs w:val="22"/>
                <w:u w:val="single"/>
              </w:rPr>
              <w:t>Target:</w:t>
            </w:r>
          </w:p>
          <w:p w:rsidR="00B76F9A" w:rsidRDefault="00FE6E3C" w:rsidP="00BE000A">
            <w:pPr>
              <w:jc w:val="center"/>
              <w:rPr>
                <w:bCs/>
                <w:i/>
                <w:iCs/>
                <w:sz w:val="22"/>
                <w:szCs w:val="22"/>
              </w:rPr>
            </w:pPr>
            <w:r w:rsidRPr="00FE6E3C">
              <w:rPr>
                <w:bCs/>
                <w:i/>
                <w:iCs/>
                <w:sz w:val="22"/>
                <w:szCs w:val="22"/>
              </w:rPr>
              <w:t>180 punonjëse dhe punonjës të trajnuar çdo vit</w:t>
            </w:r>
          </w:p>
          <w:p w:rsidR="00FE6E3C" w:rsidRDefault="00FE6E3C" w:rsidP="00BE000A">
            <w:pPr>
              <w:jc w:val="center"/>
              <w:rPr>
                <w:bCs/>
                <w:i/>
                <w:iCs/>
                <w:sz w:val="22"/>
                <w:szCs w:val="22"/>
              </w:rPr>
            </w:pPr>
          </w:p>
          <w:p w:rsidR="00FE6E3C" w:rsidRDefault="00FE6E3C" w:rsidP="00BE000A">
            <w:pPr>
              <w:jc w:val="center"/>
              <w:rPr>
                <w:bCs/>
                <w:i/>
                <w:iCs/>
                <w:sz w:val="22"/>
                <w:szCs w:val="22"/>
              </w:rPr>
            </w:pPr>
            <w:r w:rsidRPr="00FE6E3C">
              <w:rPr>
                <w:bCs/>
                <w:i/>
                <w:iCs/>
                <w:sz w:val="22"/>
                <w:szCs w:val="22"/>
              </w:rPr>
              <w:t>30 (2027)</w:t>
            </w:r>
          </w:p>
          <w:p w:rsidR="00FE6E3C" w:rsidRDefault="00FE6E3C" w:rsidP="00BE000A">
            <w:pPr>
              <w:jc w:val="center"/>
              <w:rPr>
                <w:bCs/>
                <w:i/>
                <w:iCs/>
                <w:sz w:val="22"/>
                <w:szCs w:val="22"/>
              </w:rPr>
            </w:pPr>
          </w:p>
          <w:p w:rsidR="00FE6E3C" w:rsidRPr="0005701D" w:rsidRDefault="00FE6E3C" w:rsidP="00BE000A">
            <w:pPr>
              <w:jc w:val="center"/>
              <w:rPr>
                <w:bCs/>
                <w:i/>
                <w:iCs/>
                <w:sz w:val="22"/>
                <w:szCs w:val="22"/>
              </w:rPr>
            </w:pPr>
          </w:p>
        </w:tc>
      </w:tr>
      <w:tr w:rsidR="00B76F9A" w:rsidRPr="00265B92" w:rsidTr="00BA6EFB">
        <w:tc>
          <w:tcPr>
            <w:tcW w:w="7308" w:type="dxa"/>
            <w:gridSpan w:val="5"/>
            <w:shd w:val="clear" w:color="auto" w:fill="C2D69B" w:themeFill="accent3" w:themeFillTint="99"/>
          </w:tcPr>
          <w:p w:rsidR="00B76F9A" w:rsidRPr="0005701D" w:rsidRDefault="00B76F9A" w:rsidP="00B76F9A">
            <w:pPr>
              <w:jc w:val="center"/>
              <w:rPr>
                <w:b/>
                <w:sz w:val="22"/>
                <w:szCs w:val="22"/>
              </w:rPr>
            </w:pPr>
            <w:r w:rsidRPr="0005701D">
              <w:rPr>
                <w:b/>
                <w:sz w:val="22"/>
                <w:szCs w:val="22"/>
              </w:rPr>
              <w:t>MASAT DHE AKTIVITETET</w:t>
            </w:r>
          </w:p>
        </w:tc>
        <w:tc>
          <w:tcPr>
            <w:tcW w:w="2067" w:type="dxa"/>
            <w:shd w:val="clear" w:color="auto" w:fill="C2D69B" w:themeFill="accent3" w:themeFillTint="99"/>
          </w:tcPr>
          <w:p w:rsidR="00B76F9A" w:rsidRPr="0005701D" w:rsidRDefault="00B76F9A" w:rsidP="00B76F9A">
            <w:pPr>
              <w:jc w:val="center"/>
              <w:rPr>
                <w:sz w:val="22"/>
                <w:szCs w:val="22"/>
              </w:rPr>
            </w:pPr>
            <w:r w:rsidRPr="0005701D">
              <w:rPr>
                <w:b/>
                <w:sz w:val="22"/>
                <w:szCs w:val="22"/>
              </w:rPr>
              <w:t>PRODUKTET</w:t>
            </w:r>
          </w:p>
        </w:tc>
        <w:tc>
          <w:tcPr>
            <w:tcW w:w="2067" w:type="dxa"/>
            <w:gridSpan w:val="2"/>
            <w:shd w:val="clear" w:color="auto" w:fill="C2D69B" w:themeFill="accent3" w:themeFillTint="99"/>
          </w:tcPr>
          <w:p w:rsidR="00B76F9A" w:rsidRPr="0005701D" w:rsidRDefault="00B76F9A" w:rsidP="00B76F9A">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B76F9A" w:rsidRPr="0005701D" w:rsidRDefault="00B76F9A" w:rsidP="00B76F9A">
            <w:pPr>
              <w:jc w:val="center"/>
              <w:rPr>
                <w:b/>
                <w:sz w:val="22"/>
                <w:szCs w:val="22"/>
              </w:rPr>
            </w:pPr>
            <w:r w:rsidRPr="0005701D">
              <w:rPr>
                <w:b/>
                <w:sz w:val="22"/>
                <w:szCs w:val="22"/>
              </w:rPr>
              <w:t>INSTITUCIONET PARTNERE</w:t>
            </w:r>
          </w:p>
        </w:tc>
        <w:tc>
          <w:tcPr>
            <w:tcW w:w="1765" w:type="dxa"/>
            <w:shd w:val="clear" w:color="auto" w:fill="C2D69B" w:themeFill="accent3" w:themeFillTint="99"/>
          </w:tcPr>
          <w:p w:rsidR="00B76F9A" w:rsidRPr="0005701D" w:rsidRDefault="00B76F9A" w:rsidP="00B76F9A">
            <w:pPr>
              <w:jc w:val="center"/>
              <w:rPr>
                <w:b/>
                <w:sz w:val="22"/>
                <w:szCs w:val="22"/>
              </w:rPr>
            </w:pPr>
            <w:r w:rsidRPr="0005701D">
              <w:rPr>
                <w:b/>
                <w:sz w:val="22"/>
                <w:szCs w:val="22"/>
              </w:rPr>
              <w:t>AFATI KOHOR</w:t>
            </w:r>
          </w:p>
        </w:tc>
      </w:tr>
      <w:tr w:rsidR="00FE6E3C" w:rsidRPr="00265B92" w:rsidTr="00BA6EFB">
        <w:tc>
          <w:tcPr>
            <w:tcW w:w="9375" w:type="dxa"/>
            <w:gridSpan w:val="6"/>
            <w:shd w:val="clear" w:color="auto" w:fill="EAF1DD" w:themeFill="accent3" w:themeFillTint="33"/>
          </w:tcPr>
          <w:p w:rsidR="00FE6E3C" w:rsidRPr="0005701D" w:rsidRDefault="00FE6E3C" w:rsidP="00FE6E3C">
            <w:pPr>
              <w:jc w:val="both"/>
              <w:rPr>
                <w:b/>
                <w:sz w:val="22"/>
                <w:szCs w:val="22"/>
              </w:rPr>
            </w:pPr>
            <w:r>
              <w:rPr>
                <w:b/>
                <w:bCs/>
                <w:color w:val="000000"/>
              </w:rPr>
              <w:t>I.4.1. Nxitja e personave LGBTI+ të besojnë dhe aplikojnë për shërbimet e ofruara në fushën e punësimit dhe zhvillimit të sipërmarrjeve</w:t>
            </w:r>
          </w:p>
        </w:tc>
        <w:tc>
          <w:tcPr>
            <w:tcW w:w="2067" w:type="dxa"/>
            <w:gridSpan w:val="2"/>
            <w:shd w:val="clear" w:color="auto" w:fill="EAF1DD" w:themeFill="accent3" w:themeFillTint="33"/>
          </w:tcPr>
          <w:p w:rsidR="00FE6E3C" w:rsidRPr="0005701D" w:rsidRDefault="00FE6E3C" w:rsidP="00FE6E3C">
            <w:pPr>
              <w:jc w:val="center"/>
              <w:rPr>
                <w:b/>
                <w:bCs/>
                <w:sz w:val="22"/>
                <w:szCs w:val="22"/>
                <w:lang w:val="en-US"/>
              </w:rPr>
            </w:pPr>
            <w:r>
              <w:rPr>
                <w:b/>
                <w:bCs/>
                <w:color w:val="000000"/>
              </w:rPr>
              <w:t>AKPA</w:t>
            </w:r>
          </w:p>
        </w:tc>
        <w:tc>
          <w:tcPr>
            <w:tcW w:w="2520" w:type="dxa"/>
            <w:gridSpan w:val="2"/>
            <w:shd w:val="clear" w:color="auto" w:fill="EAF1DD" w:themeFill="accent3" w:themeFillTint="33"/>
          </w:tcPr>
          <w:p w:rsidR="00FE6E3C" w:rsidRPr="0005701D" w:rsidRDefault="00FE6E3C" w:rsidP="00FE6E3C">
            <w:pPr>
              <w:jc w:val="center"/>
              <w:rPr>
                <w:b/>
                <w:bCs/>
                <w:sz w:val="22"/>
                <w:szCs w:val="22"/>
                <w:lang w:val="en-US"/>
              </w:rPr>
            </w:pPr>
            <w:r>
              <w:rPr>
                <w:b/>
                <w:bCs/>
                <w:color w:val="000000"/>
              </w:rPr>
              <w:t>AKAFP, AIDA, BDHTI,</w:t>
            </w:r>
            <w:r>
              <w:rPr>
                <w:b/>
                <w:bCs/>
                <w:color w:val="000000"/>
              </w:rPr>
              <w:br/>
              <w:t>MFE,OJF, org. ndërkombëtare</w:t>
            </w:r>
          </w:p>
        </w:tc>
        <w:tc>
          <w:tcPr>
            <w:tcW w:w="1765" w:type="dxa"/>
            <w:shd w:val="clear" w:color="auto" w:fill="EAF1DD" w:themeFill="accent3" w:themeFillTint="33"/>
          </w:tcPr>
          <w:p w:rsidR="00FE6E3C" w:rsidRPr="0005701D" w:rsidRDefault="00FE6E3C" w:rsidP="00FE6E3C">
            <w:pPr>
              <w:jc w:val="center"/>
              <w:rPr>
                <w:b/>
                <w:sz w:val="22"/>
                <w:szCs w:val="22"/>
                <w:lang w:val="en-US"/>
              </w:rPr>
            </w:pPr>
            <w:r>
              <w:rPr>
                <w:b/>
                <w:bCs/>
                <w:color w:val="000000"/>
              </w:rPr>
              <w:t xml:space="preserve">6M-I- 2022 -  </w:t>
            </w:r>
            <w:r>
              <w:rPr>
                <w:b/>
                <w:bCs/>
                <w:color w:val="000000"/>
              </w:rPr>
              <w:br/>
              <w:t xml:space="preserve">6M-II- 2027 </w:t>
            </w:r>
          </w:p>
        </w:tc>
      </w:tr>
      <w:tr w:rsidR="00FE6E3C" w:rsidRPr="00265B92" w:rsidTr="00BA6EFB">
        <w:tc>
          <w:tcPr>
            <w:tcW w:w="7308" w:type="dxa"/>
            <w:gridSpan w:val="5"/>
            <w:shd w:val="clear" w:color="auto" w:fill="auto"/>
          </w:tcPr>
          <w:p w:rsidR="00FE6E3C" w:rsidRPr="0005701D" w:rsidRDefault="00FE6E3C" w:rsidP="00FE6E3C">
            <w:pPr>
              <w:jc w:val="both"/>
              <w:rPr>
                <w:i/>
                <w:sz w:val="22"/>
                <w:szCs w:val="22"/>
                <w:lang w:val="en-US"/>
              </w:rPr>
            </w:pPr>
            <w:r>
              <w:rPr>
                <w:i/>
                <w:iCs/>
                <w:color w:val="000000"/>
              </w:rPr>
              <w:t>I.4.1.a.</w:t>
            </w:r>
            <w:r w:rsidR="00FF697C">
              <w:rPr>
                <w:i/>
                <w:iCs/>
                <w:color w:val="000000"/>
              </w:rPr>
              <w:t xml:space="preserve"> </w:t>
            </w:r>
            <w:r>
              <w:rPr>
                <w:i/>
                <w:iCs/>
                <w:color w:val="000000"/>
              </w:rPr>
              <w:t>Përgatitja  dhe shpërndarja e fletëpalosjeve / broshurave informuese mbi rëndësi</w:t>
            </w:r>
            <w:r w:rsidR="00FF697C">
              <w:rPr>
                <w:i/>
                <w:iCs/>
                <w:color w:val="000000"/>
              </w:rPr>
              <w:t xml:space="preserve">në dhe mundësitë e ofruara nga </w:t>
            </w:r>
            <w:r>
              <w:rPr>
                <w:i/>
                <w:iCs/>
                <w:color w:val="000000"/>
              </w:rPr>
              <w:t>shërbimet e punësimit dhe formimit profesional për punëkërkuesit e papunë</w:t>
            </w:r>
          </w:p>
        </w:tc>
        <w:tc>
          <w:tcPr>
            <w:tcW w:w="2067" w:type="dxa"/>
          </w:tcPr>
          <w:p w:rsidR="00FE6E3C" w:rsidRPr="0005701D" w:rsidRDefault="00FE6E3C" w:rsidP="00FE6E3C">
            <w:pPr>
              <w:jc w:val="center"/>
              <w:rPr>
                <w:bCs/>
                <w:i/>
                <w:sz w:val="22"/>
                <w:szCs w:val="22"/>
                <w:lang w:val="en-US"/>
              </w:rPr>
            </w:pPr>
            <w:r>
              <w:rPr>
                <w:i/>
                <w:iCs/>
                <w:color w:val="000000"/>
              </w:rPr>
              <w:t>Fletëpalosjet e përgatitura dhe shpërndara nëpërmjet OJF-ve LGBTI+ (2000 copë)</w:t>
            </w:r>
          </w:p>
        </w:tc>
        <w:tc>
          <w:tcPr>
            <w:tcW w:w="2067" w:type="dxa"/>
            <w:gridSpan w:val="2"/>
            <w:shd w:val="clear" w:color="auto" w:fill="auto"/>
          </w:tcPr>
          <w:p w:rsidR="00FE6E3C" w:rsidRPr="0005701D" w:rsidRDefault="00FE6E3C" w:rsidP="00FE6E3C">
            <w:pPr>
              <w:keepNext/>
              <w:keepLines/>
              <w:jc w:val="center"/>
              <w:outlineLvl w:val="0"/>
              <w:rPr>
                <w:b/>
                <w:bCs/>
                <w:i/>
                <w:iCs/>
                <w:sz w:val="22"/>
                <w:szCs w:val="22"/>
                <w:lang w:val="en-US"/>
              </w:rPr>
            </w:pPr>
            <w:bookmarkStart w:id="50" w:name="_Toc79509639"/>
            <w:r>
              <w:rPr>
                <w:i/>
                <w:iCs/>
                <w:color w:val="000000"/>
              </w:rPr>
              <w:t>AKPA</w:t>
            </w:r>
            <w:bookmarkEnd w:id="50"/>
          </w:p>
        </w:tc>
        <w:tc>
          <w:tcPr>
            <w:tcW w:w="2520" w:type="dxa"/>
            <w:gridSpan w:val="2"/>
          </w:tcPr>
          <w:p w:rsidR="00FE6E3C" w:rsidRPr="0005701D" w:rsidRDefault="00FE6E3C" w:rsidP="00FE6E3C">
            <w:pPr>
              <w:jc w:val="center"/>
              <w:rPr>
                <w:i/>
                <w:sz w:val="22"/>
                <w:szCs w:val="22"/>
                <w:lang w:val="en-US"/>
              </w:rPr>
            </w:pPr>
            <w:r>
              <w:rPr>
                <w:i/>
                <w:iCs/>
                <w:color w:val="000000"/>
              </w:rPr>
              <w:t>AKAFP, AIDA, BDHTI,</w:t>
            </w:r>
            <w:r>
              <w:rPr>
                <w:i/>
                <w:iCs/>
                <w:color w:val="000000"/>
              </w:rPr>
              <w:br/>
              <w:t>MFE,OJF, org. ndërkombëtare</w:t>
            </w:r>
          </w:p>
        </w:tc>
        <w:tc>
          <w:tcPr>
            <w:tcW w:w="1765" w:type="dxa"/>
          </w:tcPr>
          <w:p w:rsidR="00FE6E3C" w:rsidRPr="0005701D" w:rsidRDefault="00FE6E3C" w:rsidP="00FE6E3C">
            <w:pPr>
              <w:jc w:val="center"/>
              <w:rPr>
                <w:i/>
                <w:sz w:val="22"/>
                <w:szCs w:val="22"/>
                <w:lang w:val="en-US"/>
              </w:rPr>
            </w:pPr>
            <w:r>
              <w:rPr>
                <w:color w:val="000000"/>
              </w:rPr>
              <w:t xml:space="preserve">6M-II- 2022 </w:t>
            </w:r>
            <w:r>
              <w:rPr>
                <w:color w:val="000000"/>
              </w:rPr>
              <w:br/>
              <w:t xml:space="preserve">– </w:t>
            </w:r>
            <w:r>
              <w:rPr>
                <w:color w:val="000000"/>
              </w:rPr>
              <w:br/>
              <w:t xml:space="preserve">6M-II- 2022 </w:t>
            </w:r>
          </w:p>
        </w:tc>
      </w:tr>
      <w:tr w:rsidR="00FE6E3C" w:rsidRPr="00265B92" w:rsidTr="00BA6EFB">
        <w:tc>
          <w:tcPr>
            <w:tcW w:w="7308" w:type="dxa"/>
            <w:gridSpan w:val="5"/>
            <w:shd w:val="clear" w:color="auto" w:fill="auto"/>
          </w:tcPr>
          <w:p w:rsidR="00FE6E3C" w:rsidRPr="0005701D" w:rsidRDefault="00FE6E3C" w:rsidP="00FE6E3C">
            <w:pPr>
              <w:jc w:val="both"/>
              <w:rPr>
                <w:i/>
                <w:sz w:val="22"/>
                <w:szCs w:val="22"/>
                <w:lang w:val="en-US"/>
              </w:rPr>
            </w:pPr>
            <w:r>
              <w:rPr>
                <w:i/>
                <w:iCs/>
                <w:color w:val="000000"/>
              </w:rPr>
              <w:t>I.4.1.b. Bashkëpunimi me OJF e LGBTI+ për regjist</w:t>
            </w:r>
            <w:r w:rsidR="00FF697C">
              <w:rPr>
                <w:i/>
                <w:iCs/>
                <w:color w:val="000000"/>
              </w:rPr>
              <w:t>rimin e personave LGBTI+ të pap</w:t>
            </w:r>
            <w:r>
              <w:rPr>
                <w:i/>
                <w:iCs/>
                <w:color w:val="000000"/>
              </w:rPr>
              <w:t>unë si punëkërkues të papunë pranë ZVP</w:t>
            </w:r>
          </w:p>
        </w:tc>
        <w:tc>
          <w:tcPr>
            <w:tcW w:w="2067" w:type="dxa"/>
          </w:tcPr>
          <w:p w:rsidR="00FE6E3C" w:rsidRPr="0005701D" w:rsidRDefault="00FE6E3C" w:rsidP="00FE6E3C">
            <w:pPr>
              <w:jc w:val="center"/>
              <w:rPr>
                <w:bCs/>
                <w:i/>
                <w:sz w:val="22"/>
                <w:szCs w:val="22"/>
                <w:lang w:val="en-US"/>
              </w:rPr>
            </w:pPr>
            <w:r>
              <w:rPr>
                <w:i/>
                <w:iCs/>
                <w:color w:val="000000"/>
              </w:rPr>
              <w:t>Personat LGBTI+ në nevojë për punësim të evidentuar tek grupet e synuara</w:t>
            </w:r>
          </w:p>
        </w:tc>
        <w:tc>
          <w:tcPr>
            <w:tcW w:w="2067" w:type="dxa"/>
            <w:gridSpan w:val="2"/>
            <w:shd w:val="clear" w:color="auto" w:fill="auto"/>
          </w:tcPr>
          <w:p w:rsidR="00FE6E3C" w:rsidRPr="0005701D" w:rsidRDefault="00FE6E3C" w:rsidP="00FE6E3C">
            <w:pPr>
              <w:jc w:val="center"/>
              <w:rPr>
                <w:b/>
                <w:bCs/>
                <w:i/>
                <w:iCs/>
                <w:sz w:val="22"/>
                <w:szCs w:val="22"/>
                <w:lang w:val="en-US"/>
              </w:rPr>
            </w:pPr>
            <w:r>
              <w:rPr>
                <w:i/>
                <w:iCs/>
                <w:color w:val="000000"/>
              </w:rPr>
              <w:t>SHKP/ZVP</w:t>
            </w:r>
          </w:p>
        </w:tc>
        <w:tc>
          <w:tcPr>
            <w:tcW w:w="2520" w:type="dxa"/>
            <w:gridSpan w:val="2"/>
          </w:tcPr>
          <w:p w:rsidR="00FE6E3C" w:rsidRPr="0005701D" w:rsidRDefault="00FE6E3C" w:rsidP="00FE6E3C">
            <w:pPr>
              <w:jc w:val="center"/>
              <w:rPr>
                <w:bCs/>
                <w:i/>
                <w:sz w:val="22"/>
                <w:szCs w:val="22"/>
                <w:lang w:val="en-US"/>
              </w:rPr>
            </w:pPr>
            <w:r>
              <w:rPr>
                <w:i/>
                <w:iCs/>
                <w:color w:val="000000"/>
              </w:rPr>
              <w:t>AKAFP, AKPA, MFE, OJF, MSHMS, org. ndërkombëtare</w:t>
            </w:r>
          </w:p>
        </w:tc>
        <w:tc>
          <w:tcPr>
            <w:tcW w:w="1765" w:type="dxa"/>
          </w:tcPr>
          <w:p w:rsidR="00FE6E3C" w:rsidRPr="0005701D" w:rsidRDefault="00FE6E3C" w:rsidP="00FE6E3C">
            <w:pPr>
              <w:jc w:val="center"/>
              <w:rPr>
                <w:i/>
                <w:sz w:val="22"/>
                <w:szCs w:val="22"/>
                <w:lang w:val="en-US"/>
              </w:rPr>
            </w:pPr>
            <w:r>
              <w:rPr>
                <w:color w:val="000000"/>
              </w:rPr>
              <w:t xml:space="preserve">6M-I- 2022 -  </w:t>
            </w:r>
            <w:r>
              <w:rPr>
                <w:color w:val="000000"/>
              </w:rPr>
              <w:br/>
              <w:t xml:space="preserve">6M-II- 2027 </w:t>
            </w:r>
          </w:p>
        </w:tc>
      </w:tr>
      <w:tr w:rsidR="00FE6E3C" w:rsidRPr="00265B92" w:rsidTr="00BA6EFB">
        <w:tc>
          <w:tcPr>
            <w:tcW w:w="7308" w:type="dxa"/>
            <w:gridSpan w:val="5"/>
            <w:shd w:val="clear" w:color="auto" w:fill="auto"/>
          </w:tcPr>
          <w:p w:rsidR="00FE6E3C" w:rsidRDefault="00FE6E3C" w:rsidP="00FE6E3C">
            <w:pPr>
              <w:jc w:val="both"/>
              <w:rPr>
                <w:i/>
                <w:iCs/>
                <w:color w:val="000000"/>
              </w:rPr>
            </w:pPr>
            <w:r>
              <w:rPr>
                <w:i/>
                <w:iCs/>
                <w:color w:val="000000"/>
              </w:rPr>
              <w:lastRenderedPageBreak/>
              <w:t>I.4.1.c. Trajnimi i punonjëseve dhe punonjësve të shërbimeve të punësimit për të ofruar shërbime miqesore dhe pa diskriminim</w:t>
            </w:r>
            <w:r w:rsidR="00FF697C">
              <w:rPr>
                <w:i/>
                <w:iCs/>
                <w:color w:val="000000"/>
              </w:rPr>
              <w:t xml:space="preserve"> </w:t>
            </w:r>
            <w:r>
              <w:rPr>
                <w:i/>
                <w:iCs/>
                <w:color w:val="000000"/>
              </w:rPr>
              <w:t>për personat LGBTI+</w:t>
            </w:r>
          </w:p>
        </w:tc>
        <w:tc>
          <w:tcPr>
            <w:tcW w:w="2067" w:type="dxa"/>
          </w:tcPr>
          <w:p w:rsidR="00FE6E3C" w:rsidRDefault="00FE6E3C" w:rsidP="00FE6E3C">
            <w:pPr>
              <w:jc w:val="center"/>
              <w:rPr>
                <w:i/>
                <w:iCs/>
                <w:color w:val="000000"/>
              </w:rPr>
            </w:pPr>
            <w:r>
              <w:rPr>
                <w:i/>
                <w:iCs/>
                <w:color w:val="000000"/>
              </w:rPr>
              <w:t>180 punonjëse dhe punonjës të trajhnuar çdo vit</w:t>
            </w:r>
          </w:p>
        </w:tc>
        <w:tc>
          <w:tcPr>
            <w:tcW w:w="2067" w:type="dxa"/>
            <w:gridSpan w:val="2"/>
            <w:shd w:val="clear" w:color="auto" w:fill="auto"/>
          </w:tcPr>
          <w:p w:rsidR="00FE6E3C" w:rsidRDefault="00FE6E3C" w:rsidP="00FE6E3C">
            <w:pPr>
              <w:jc w:val="center"/>
              <w:rPr>
                <w:i/>
                <w:iCs/>
                <w:color w:val="000000"/>
              </w:rPr>
            </w:pPr>
            <w:r>
              <w:rPr>
                <w:i/>
                <w:iCs/>
                <w:color w:val="000000"/>
              </w:rPr>
              <w:t>SHKP/ZVP</w:t>
            </w:r>
          </w:p>
        </w:tc>
        <w:tc>
          <w:tcPr>
            <w:tcW w:w="2520" w:type="dxa"/>
            <w:gridSpan w:val="2"/>
          </w:tcPr>
          <w:p w:rsidR="00FE6E3C" w:rsidRDefault="00FE6E3C" w:rsidP="00FE6E3C">
            <w:pPr>
              <w:jc w:val="center"/>
              <w:rPr>
                <w:i/>
                <w:iCs/>
                <w:color w:val="000000"/>
              </w:rPr>
            </w:pPr>
            <w:r>
              <w:rPr>
                <w:i/>
                <w:iCs/>
                <w:color w:val="000000"/>
              </w:rPr>
              <w:t>AKAFP, AKPA, MFE, OJF, MSHMS, org. ndërkombëtare</w:t>
            </w:r>
          </w:p>
        </w:tc>
        <w:tc>
          <w:tcPr>
            <w:tcW w:w="1765" w:type="dxa"/>
          </w:tcPr>
          <w:p w:rsidR="00FE6E3C" w:rsidRDefault="00FE6E3C" w:rsidP="00FE6E3C">
            <w:pPr>
              <w:jc w:val="center"/>
              <w:rPr>
                <w:color w:val="000000"/>
              </w:rPr>
            </w:pPr>
            <w:r>
              <w:rPr>
                <w:color w:val="000000"/>
              </w:rPr>
              <w:t xml:space="preserve">6M-I- 2022 -  </w:t>
            </w:r>
            <w:r>
              <w:rPr>
                <w:color w:val="000000"/>
              </w:rPr>
              <w:br/>
              <w:t xml:space="preserve">6M-II- 2027 </w:t>
            </w:r>
          </w:p>
        </w:tc>
      </w:tr>
      <w:tr w:rsidR="00FE6E3C" w:rsidRPr="00265B92" w:rsidTr="00BA6EFB">
        <w:tc>
          <w:tcPr>
            <w:tcW w:w="7308" w:type="dxa"/>
            <w:gridSpan w:val="5"/>
            <w:shd w:val="clear" w:color="auto" w:fill="auto"/>
          </w:tcPr>
          <w:p w:rsidR="00FE6E3C" w:rsidRDefault="00FE6E3C" w:rsidP="00FE6E3C">
            <w:pPr>
              <w:jc w:val="both"/>
              <w:rPr>
                <w:i/>
                <w:iCs/>
                <w:color w:val="000000"/>
              </w:rPr>
            </w:pPr>
            <w:r>
              <w:rPr>
                <w:i/>
                <w:iCs/>
                <w:color w:val="000000"/>
              </w:rPr>
              <w:t>I.4.1.d. Subvencionimi i sipërmarrjeve të personave LGBTI+ që zbatojnë ide inovatore me fokus tek dixhitalizimi dhe ekonomia mjedisore.</w:t>
            </w:r>
          </w:p>
        </w:tc>
        <w:tc>
          <w:tcPr>
            <w:tcW w:w="2067" w:type="dxa"/>
          </w:tcPr>
          <w:p w:rsidR="00FE6E3C" w:rsidRDefault="00FE6E3C" w:rsidP="00FE6E3C">
            <w:pPr>
              <w:jc w:val="center"/>
              <w:rPr>
                <w:i/>
                <w:iCs/>
                <w:color w:val="000000"/>
              </w:rPr>
            </w:pPr>
            <w:r>
              <w:rPr>
                <w:i/>
                <w:iCs/>
                <w:color w:val="000000"/>
              </w:rPr>
              <w:t>30 subvencionime të kryera</w:t>
            </w:r>
          </w:p>
        </w:tc>
        <w:tc>
          <w:tcPr>
            <w:tcW w:w="2067" w:type="dxa"/>
            <w:gridSpan w:val="2"/>
            <w:shd w:val="clear" w:color="auto" w:fill="auto"/>
          </w:tcPr>
          <w:p w:rsidR="00FE6E3C" w:rsidRDefault="00FE6E3C" w:rsidP="00FE6E3C">
            <w:pPr>
              <w:jc w:val="center"/>
              <w:rPr>
                <w:i/>
                <w:iCs/>
                <w:color w:val="000000"/>
              </w:rPr>
            </w:pPr>
            <w:r>
              <w:rPr>
                <w:i/>
                <w:iCs/>
                <w:color w:val="000000"/>
              </w:rPr>
              <w:t>MFE</w:t>
            </w:r>
          </w:p>
        </w:tc>
        <w:tc>
          <w:tcPr>
            <w:tcW w:w="2520" w:type="dxa"/>
            <w:gridSpan w:val="2"/>
          </w:tcPr>
          <w:p w:rsidR="00FE6E3C" w:rsidRDefault="00FE6E3C" w:rsidP="00FE6E3C">
            <w:pPr>
              <w:jc w:val="center"/>
              <w:rPr>
                <w:i/>
                <w:iCs/>
                <w:color w:val="000000"/>
              </w:rPr>
            </w:pPr>
            <w:r>
              <w:rPr>
                <w:i/>
                <w:iCs/>
                <w:color w:val="000000"/>
              </w:rPr>
              <w:t>MBZHR, Min Shtet.Mbrojtjen e Sipërm, MIE</w:t>
            </w:r>
            <w:r>
              <w:rPr>
                <w:i/>
                <w:iCs/>
                <w:color w:val="000000"/>
              </w:rPr>
              <w:br/>
              <w:t>Institucionet financiare qendrore, org. ndërkombëtare</w:t>
            </w:r>
          </w:p>
        </w:tc>
        <w:tc>
          <w:tcPr>
            <w:tcW w:w="1765" w:type="dxa"/>
          </w:tcPr>
          <w:p w:rsidR="00FE6E3C" w:rsidRDefault="00FE6E3C" w:rsidP="00FE6E3C">
            <w:pPr>
              <w:jc w:val="center"/>
              <w:rPr>
                <w:color w:val="000000"/>
              </w:rPr>
            </w:pPr>
            <w:r>
              <w:rPr>
                <w:color w:val="000000"/>
              </w:rPr>
              <w:t xml:space="preserve">6M-I- 2023 -  </w:t>
            </w:r>
            <w:r>
              <w:rPr>
                <w:color w:val="000000"/>
              </w:rPr>
              <w:br/>
              <w:t xml:space="preserve">6M-II- 2027 </w:t>
            </w:r>
          </w:p>
        </w:tc>
      </w:tr>
      <w:tr w:rsidR="00B76F9A" w:rsidRPr="00265B92" w:rsidTr="00BA6EFB">
        <w:tc>
          <w:tcPr>
            <w:tcW w:w="2610" w:type="dxa"/>
            <w:gridSpan w:val="3"/>
            <w:shd w:val="clear" w:color="auto" w:fill="FABF8F" w:themeFill="accent6" w:themeFillTint="99"/>
          </w:tcPr>
          <w:p w:rsidR="00B76F9A" w:rsidRPr="0005701D" w:rsidRDefault="00B76F9A" w:rsidP="00FE6E3C">
            <w:pPr>
              <w:jc w:val="both"/>
              <w:rPr>
                <w:b/>
                <w:sz w:val="22"/>
                <w:szCs w:val="22"/>
              </w:rPr>
            </w:pPr>
            <w:r w:rsidRPr="0005701D">
              <w:rPr>
                <w:b/>
                <w:sz w:val="22"/>
                <w:szCs w:val="22"/>
              </w:rPr>
              <w:t xml:space="preserve">Qëllimi Strategjik </w:t>
            </w:r>
            <w:r w:rsidR="00FE6E3C">
              <w:rPr>
                <w:b/>
                <w:sz w:val="22"/>
                <w:szCs w:val="22"/>
              </w:rPr>
              <w:t>II</w:t>
            </w:r>
            <w:r w:rsidRPr="0005701D">
              <w:rPr>
                <w:b/>
                <w:sz w:val="22"/>
                <w:szCs w:val="22"/>
              </w:rPr>
              <w:t>:</w:t>
            </w:r>
          </w:p>
        </w:tc>
        <w:tc>
          <w:tcPr>
            <w:tcW w:w="13117" w:type="dxa"/>
            <w:gridSpan w:val="8"/>
            <w:shd w:val="clear" w:color="auto" w:fill="FABF8F" w:themeFill="accent6" w:themeFillTint="99"/>
          </w:tcPr>
          <w:p w:rsidR="00B76F9A" w:rsidRPr="0005701D" w:rsidRDefault="00FE6E3C" w:rsidP="00B76F9A">
            <w:pPr>
              <w:pBdr>
                <w:top w:val="single" w:sz="4" w:space="1" w:color="auto"/>
                <w:left w:val="single" w:sz="4" w:space="4" w:color="auto"/>
                <w:bottom w:val="single" w:sz="4" w:space="1" w:color="auto"/>
                <w:right w:val="single" w:sz="4" w:space="4" w:color="auto"/>
              </w:pBdr>
              <w:jc w:val="both"/>
              <w:rPr>
                <w:sz w:val="22"/>
                <w:szCs w:val="22"/>
                <w:lang w:val="en-US"/>
              </w:rPr>
            </w:pPr>
            <w:r w:rsidRPr="00FE6E3C">
              <w:rPr>
                <w:b/>
                <w:sz w:val="22"/>
                <w:szCs w:val="22"/>
              </w:rPr>
              <w:t>Garantimi i mbrojtjes dhe sigurisë për personat LGBTI+ përmes përmirësimit të kuadrit ligjor, zbatimit efektiv të tij, si dhe rritjes së aksesit të personave LGBTI+ në sistemin e drejtësisë</w:t>
            </w:r>
          </w:p>
        </w:tc>
      </w:tr>
      <w:tr w:rsidR="00B76F9A" w:rsidRPr="00265B92" w:rsidTr="00BA6EFB">
        <w:trPr>
          <w:trHeight w:val="476"/>
        </w:trPr>
        <w:tc>
          <w:tcPr>
            <w:tcW w:w="2610" w:type="dxa"/>
            <w:gridSpan w:val="3"/>
            <w:shd w:val="clear" w:color="auto" w:fill="FBD4B4" w:themeFill="accent6" w:themeFillTint="66"/>
          </w:tcPr>
          <w:p w:rsidR="00B76F9A" w:rsidRPr="0005701D" w:rsidRDefault="00B76F9A" w:rsidP="00B76F9A">
            <w:pPr>
              <w:rPr>
                <w:b/>
                <w:sz w:val="22"/>
                <w:szCs w:val="22"/>
              </w:rPr>
            </w:pPr>
            <w:r w:rsidRPr="0005701D">
              <w:rPr>
                <w:b/>
                <w:sz w:val="22"/>
                <w:szCs w:val="22"/>
              </w:rPr>
              <w:t xml:space="preserve">Objektivi specifik </w:t>
            </w:r>
            <w:r w:rsidR="00FE6E3C">
              <w:rPr>
                <w:b/>
                <w:sz w:val="22"/>
                <w:szCs w:val="22"/>
              </w:rPr>
              <w:t>II</w:t>
            </w:r>
            <w:r w:rsidRPr="0005701D">
              <w:rPr>
                <w:b/>
                <w:sz w:val="22"/>
                <w:szCs w:val="22"/>
              </w:rPr>
              <w:t>.1:</w:t>
            </w:r>
          </w:p>
        </w:tc>
        <w:tc>
          <w:tcPr>
            <w:tcW w:w="13117" w:type="dxa"/>
            <w:gridSpan w:val="8"/>
            <w:shd w:val="clear" w:color="auto" w:fill="FBD4B4" w:themeFill="accent6" w:themeFillTint="66"/>
          </w:tcPr>
          <w:p w:rsidR="00B76F9A" w:rsidRPr="0005701D" w:rsidRDefault="00FE6E3C" w:rsidP="00B76F9A">
            <w:pPr>
              <w:jc w:val="both"/>
              <w:rPr>
                <w:b/>
                <w:sz w:val="22"/>
                <w:szCs w:val="22"/>
              </w:rPr>
            </w:pPr>
            <w:r w:rsidRPr="00FE6E3C">
              <w:rPr>
                <w:b/>
                <w:sz w:val="22"/>
                <w:szCs w:val="22"/>
              </w:rPr>
              <w:t>Përforcimi i mbroj</w:t>
            </w:r>
            <w:r w:rsidR="00FF697C">
              <w:rPr>
                <w:b/>
                <w:sz w:val="22"/>
                <w:szCs w:val="22"/>
              </w:rPr>
              <w:t>tjes ligjore për personat LGBTI+</w:t>
            </w:r>
            <w:r w:rsidRPr="00FE6E3C">
              <w:rPr>
                <w:b/>
                <w:sz w:val="22"/>
                <w:szCs w:val="22"/>
              </w:rPr>
              <w:t xml:space="preserve"> kundër krimit të urrejtjes, gjuhës së urrejtjes dhe dhunës, nëpërmjet rishikimit dhe harmonizimit të legjilslacionit kombëtar me standardet evropiane/ndërkombëtare</w:t>
            </w:r>
          </w:p>
        </w:tc>
      </w:tr>
      <w:tr w:rsidR="00B76F9A" w:rsidRPr="00265B92" w:rsidTr="00BA6EFB">
        <w:tc>
          <w:tcPr>
            <w:tcW w:w="2610" w:type="dxa"/>
            <w:gridSpan w:val="3"/>
            <w:shd w:val="clear" w:color="auto" w:fill="FDE9D9" w:themeFill="accent6" w:themeFillTint="33"/>
          </w:tcPr>
          <w:p w:rsidR="00B76F9A" w:rsidRPr="0005701D" w:rsidRDefault="00B76F9A" w:rsidP="00B76F9A">
            <w:pPr>
              <w:rPr>
                <w:b/>
                <w:sz w:val="22"/>
                <w:szCs w:val="22"/>
                <w:u w:val="single"/>
              </w:rPr>
            </w:pPr>
            <w:r w:rsidRPr="0005701D">
              <w:rPr>
                <w:b/>
                <w:sz w:val="22"/>
                <w:szCs w:val="22"/>
                <w:u w:val="single"/>
              </w:rPr>
              <w:t>Rezultati i pritshëm:</w:t>
            </w:r>
          </w:p>
          <w:p w:rsidR="00B76F9A" w:rsidRPr="0005701D" w:rsidRDefault="00B76F9A" w:rsidP="00B76F9A">
            <w:pPr>
              <w:rPr>
                <w:b/>
                <w:sz w:val="22"/>
                <w:szCs w:val="22"/>
                <w:u w:val="single"/>
              </w:rPr>
            </w:pPr>
          </w:p>
        </w:tc>
        <w:tc>
          <w:tcPr>
            <w:tcW w:w="13117" w:type="dxa"/>
            <w:gridSpan w:val="8"/>
            <w:shd w:val="clear" w:color="auto" w:fill="FDE9D9" w:themeFill="accent6" w:themeFillTint="33"/>
          </w:tcPr>
          <w:p w:rsidR="00B76F9A" w:rsidRPr="0005701D" w:rsidRDefault="00FE6E3C" w:rsidP="00B76F9A">
            <w:pPr>
              <w:ind w:left="720" w:hanging="720"/>
              <w:jc w:val="both"/>
              <w:rPr>
                <w:sz w:val="22"/>
                <w:szCs w:val="22"/>
              </w:rPr>
            </w:pPr>
            <w:r w:rsidRPr="00FE6E3C">
              <w:rPr>
                <w:bCs/>
                <w:sz w:val="22"/>
                <w:szCs w:val="22"/>
              </w:rPr>
              <w:t>i. Legjislacion i përmirësuar, veçanërisht për të siguruar ndalimin e gjuhës dhe krimit të urrejtjes si dhe dhunës ndaj personave LGBTI+.</w:t>
            </w:r>
          </w:p>
        </w:tc>
      </w:tr>
      <w:tr w:rsidR="00B76F9A" w:rsidRPr="00265B92" w:rsidTr="00BA6EFB">
        <w:tc>
          <w:tcPr>
            <w:tcW w:w="2610" w:type="dxa"/>
            <w:gridSpan w:val="3"/>
            <w:shd w:val="clear" w:color="auto" w:fill="FDE9D9" w:themeFill="accent6" w:themeFillTint="33"/>
          </w:tcPr>
          <w:p w:rsidR="00B76F9A" w:rsidRPr="0005701D" w:rsidRDefault="00B76F9A" w:rsidP="00B76F9A">
            <w:pPr>
              <w:rPr>
                <w:b/>
                <w:sz w:val="22"/>
                <w:szCs w:val="22"/>
                <w:u w:val="single"/>
              </w:rPr>
            </w:pPr>
            <w:r w:rsidRPr="0005701D">
              <w:rPr>
                <w:b/>
                <w:sz w:val="22"/>
                <w:szCs w:val="22"/>
                <w:u w:val="single"/>
              </w:rPr>
              <w:t>Treguesi</w:t>
            </w:r>
          </w:p>
        </w:tc>
        <w:tc>
          <w:tcPr>
            <w:tcW w:w="8820" w:type="dxa"/>
            <w:gridSpan w:val="4"/>
            <w:shd w:val="clear" w:color="auto" w:fill="FDE9D9" w:themeFill="accent6" w:themeFillTint="33"/>
          </w:tcPr>
          <w:p w:rsidR="00B76F9A" w:rsidRPr="0005701D" w:rsidRDefault="00FE6E3C" w:rsidP="00FE6E3C">
            <w:pPr>
              <w:ind w:left="720" w:hanging="720"/>
              <w:jc w:val="both"/>
              <w:rPr>
                <w:sz w:val="22"/>
                <w:szCs w:val="22"/>
              </w:rPr>
            </w:pPr>
            <w:r w:rsidRPr="00FE6E3C">
              <w:rPr>
                <w:sz w:val="22"/>
                <w:szCs w:val="22"/>
              </w:rPr>
              <w:t>II.1.a. Numri i propozimeve të dërguara dhe miratuara në lidhje me ndryshimet në legjislacionin civil dhe penal në RSH</w:t>
            </w:r>
          </w:p>
        </w:tc>
        <w:tc>
          <w:tcPr>
            <w:tcW w:w="2520" w:type="dxa"/>
            <w:gridSpan w:val="2"/>
            <w:shd w:val="clear" w:color="auto" w:fill="FDE9D9" w:themeFill="accent6" w:themeFillTint="33"/>
          </w:tcPr>
          <w:p w:rsidR="00B76F9A" w:rsidRPr="0005701D" w:rsidRDefault="00B76F9A" w:rsidP="00B76F9A">
            <w:pPr>
              <w:jc w:val="center"/>
              <w:rPr>
                <w:sz w:val="22"/>
                <w:szCs w:val="22"/>
              </w:rPr>
            </w:pPr>
            <w:r w:rsidRPr="0005701D">
              <w:rPr>
                <w:sz w:val="22"/>
                <w:szCs w:val="22"/>
              </w:rPr>
              <w:t>Baseline:</w:t>
            </w:r>
          </w:p>
          <w:p w:rsidR="00B76F9A" w:rsidRPr="0005701D" w:rsidRDefault="00FE6E3C" w:rsidP="00B76F9A">
            <w:pPr>
              <w:jc w:val="center"/>
              <w:rPr>
                <w:i/>
                <w:iCs/>
                <w:sz w:val="22"/>
                <w:szCs w:val="22"/>
              </w:rPr>
            </w:pPr>
            <w:r w:rsidRPr="00FE6E3C">
              <w:rPr>
                <w:i/>
                <w:iCs/>
                <w:sz w:val="22"/>
                <w:szCs w:val="22"/>
              </w:rPr>
              <w:t>Do përcaktohet deri në 2023</w:t>
            </w:r>
          </w:p>
        </w:tc>
        <w:tc>
          <w:tcPr>
            <w:tcW w:w="1777" w:type="dxa"/>
            <w:gridSpan w:val="2"/>
            <w:shd w:val="clear" w:color="auto" w:fill="FDE9D9" w:themeFill="accent6" w:themeFillTint="33"/>
          </w:tcPr>
          <w:p w:rsidR="00B76F9A" w:rsidRPr="0005701D" w:rsidRDefault="00B76F9A" w:rsidP="00B76F9A">
            <w:pPr>
              <w:jc w:val="center"/>
              <w:rPr>
                <w:sz w:val="22"/>
                <w:szCs w:val="22"/>
              </w:rPr>
            </w:pPr>
            <w:r w:rsidRPr="0005701D">
              <w:rPr>
                <w:sz w:val="22"/>
                <w:szCs w:val="22"/>
              </w:rPr>
              <w:t>Target:</w:t>
            </w:r>
          </w:p>
          <w:p w:rsidR="00B76F9A" w:rsidRPr="0005701D" w:rsidRDefault="00FE6E3C" w:rsidP="00B76F9A">
            <w:pPr>
              <w:jc w:val="center"/>
              <w:rPr>
                <w:i/>
                <w:iCs/>
                <w:sz w:val="22"/>
                <w:szCs w:val="22"/>
              </w:rPr>
            </w:pPr>
            <w:r w:rsidRPr="00FE6E3C">
              <w:rPr>
                <w:bCs/>
                <w:i/>
                <w:iCs/>
                <w:sz w:val="22"/>
                <w:szCs w:val="22"/>
              </w:rPr>
              <w:t>3-5 ligje të rëndësishme civile dhe penale të përmirësuara (2027)</w:t>
            </w:r>
          </w:p>
        </w:tc>
      </w:tr>
      <w:tr w:rsidR="00B76F9A" w:rsidRPr="00265B92" w:rsidTr="00BA6EFB">
        <w:tc>
          <w:tcPr>
            <w:tcW w:w="7308" w:type="dxa"/>
            <w:gridSpan w:val="5"/>
            <w:shd w:val="clear" w:color="auto" w:fill="C2D69B" w:themeFill="accent3" w:themeFillTint="99"/>
          </w:tcPr>
          <w:p w:rsidR="00B76F9A" w:rsidRPr="0005701D" w:rsidRDefault="00B76F9A" w:rsidP="00B76F9A">
            <w:pPr>
              <w:jc w:val="center"/>
              <w:rPr>
                <w:b/>
                <w:sz w:val="22"/>
                <w:szCs w:val="22"/>
              </w:rPr>
            </w:pPr>
            <w:r w:rsidRPr="0005701D">
              <w:rPr>
                <w:b/>
                <w:sz w:val="22"/>
                <w:szCs w:val="22"/>
              </w:rPr>
              <w:t>MASAT DHE AKTIVITETET</w:t>
            </w:r>
          </w:p>
        </w:tc>
        <w:tc>
          <w:tcPr>
            <w:tcW w:w="2067" w:type="dxa"/>
            <w:shd w:val="clear" w:color="auto" w:fill="C2D69B" w:themeFill="accent3" w:themeFillTint="99"/>
          </w:tcPr>
          <w:p w:rsidR="00B76F9A" w:rsidRPr="0005701D" w:rsidRDefault="00B76F9A" w:rsidP="00B76F9A">
            <w:pPr>
              <w:jc w:val="center"/>
              <w:rPr>
                <w:b/>
                <w:sz w:val="22"/>
                <w:szCs w:val="22"/>
              </w:rPr>
            </w:pPr>
            <w:r w:rsidRPr="0005701D">
              <w:rPr>
                <w:b/>
                <w:sz w:val="22"/>
                <w:szCs w:val="22"/>
              </w:rPr>
              <w:t>PRODUKTET</w:t>
            </w:r>
          </w:p>
        </w:tc>
        <w:tc>
          <w:tcPr>
            <w:tcW w:w="2067" w:type="dxa"/>
            <w:gridSpan w:val="2"/>
            <w:shd w:val="clear" w:color="auto" w:fill="C2D69B" w:themeFill="accent3" w:themeFillTint="99"/>
          </w:tcPr>
          <w:p w:rsidR="00B76F9A" w:rsidRPr="0005701D" w:rsidRDefault="00B76F9A" w:rsidP="00B76F9A">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B76F9A" w:rsidRPr="0005701D" w:rsidRDefault="00B76F9A" w:rsidP="00B76F9A">
            <w:pPr>
              <w:jc w:val="center"/>
              <w:rPr>
                <w:b/>
                <w:sz w:val="22"/>
                <w:szCs w:val="22"/>
              </w:rPr>
            </w:pPr>
            <w:r w:rsidRPr="0005701D">
              <w:rPr>
                <w:b/>
                <w:sz w:val="22"/>
                <w:szCs w:val="22"/>
              </w:rPr>
              <w:t>INSTITUCIONET PARTNERE</w:t>
            </w:r>
          </w:p>
        </w:tc>
        <w:tc>
          <w:tcPr>
            <w:tcW w:w="1765" w:type="dxa"/>
            <w:shd w:val="clear" w:color="auto" w:fill="C2D69B" w:themeFill="accent3" w:themeFillTint="99"/>
          </w:tcPr>
          <w:p w:rsidR="00B76F9A" w:rsidRPr="0005701D" w:rsidRDefault="00B76F9A" w:rsidP="00B76F9A">
            <w:pPr>
              <w:jc w:val="center"/>
              <w:rPr>
                <w:b/>
                <w:sz w:val="22"/>
                <w:szCs w:val="22"/>
              </w:rPr>
            </w:pPr>
            <w:r w:rsidRPr="0005701D">
              <w:rPr>
                <w:b/>
                <w:sz w:val="22"/>
                <w:szCs w:val="22"/>
              </w:rPr>
              <w:t>AFATI KOHOR</w:t>
            </w:r>
          </w:p>
        </w:tc>
      </w:tr>
      <w:tr w:rsidR="00563092" w:rsidRPr="00265B92" w:rsidTr="00BA6EFB">
        <w:tc>
          <w:tcPr>
            <w:tcW w:w="9375" w:type="dxa"/>
            <w:gridSpan w:val="6"/>
            <w:shd w:val="clear" w:color="auto" w:fill="EAF1DD" w:themeFill="accent3" w:themeFillTint="33"/>
          </w:tcPr>
          <w:p w:rsidR="00563092" w:rsidRPr="0005701D" w:rsidRDefault="00563092" w:rsidP="00563092">
            <w:pPr>
              <w:jc w:val="both"/>
              <w:rPr>
                <w:b/>
                <w:bCs/>
                <w:sz w:val="22"/>
                <w:szCs w:val="22"/>
                <w:lang w:val="en-US"/>
              </w:rPr>
            </w:pPr>
            <w:r>
              <w:rPr>
                <w:b/>
                <w:bCs/>
                <w:color w:val="000000"/>
              </w:rPr>
              <w:t>II.1.1. Përmirësimi i legjislacionit penal për mbrojtje të personave LGBTI+ nga krimi i urrejtjes, gjuha e urrejtjes dhe dhuna (rishikimi i Kodit Penal)</w:t>
            </w:r>
          </w:p>
        </w:tc>
        <w:tc>
          <w:tcPr>
            <w:tcW w:w="2067" w:type="dxa"/>
            <w:gridSpan w:val="2"/>
            <w:shd w:val="clear" w:color="auto" w:fill="EAF1DD" w:themeFill="accent3" w:themeFillTint="33"/>
          </w:tcPr>
          <w:p w:rsidR="00563092" w:rsidRPr="0005701D" w:rsidRDefault="00563092" w:rsidP="00563092">
            <w:pPr>
              <w:jc w:val="center"/>
              <w:rPr>
                <w:b/>
                <w:bCs/>
                <w:sz w:val="22"/>
                <w:szCs w:val="22"/>
                <w:highlight w:val="magenta"/>
                <w:lang w:val="en-US"/>
              </w:rPr>
            </w:pPr>
            <w:r>
              <w:rPr>
                <w:b/>
                <w:bCs/>
                <w:color w:val="000000"/>
              </w:rPr>
              <w:t>MD</w:t>
            </w:r>
          </w:p>
        </w:tc>
        <w:tc>
          <w:tcPr>
            <w:tcW w:w="2520" w:type="dxa"/>
            <w:gridSpan w:val="2"/>
            <w:shd w:val="clear" w:color="auto" w:fill="EAF1DD" w:themeFill="accent3" w:themeFillTint="33"/>
          </w:tcPr>
          <w:p w:rsidR="00563092" w:rsidRPr="0005701D" w:rsidRDefault="00563092" w:rsidP="00563092">
            <w:pPr>
              <w:jc w:val="center"/>
              <w:rPr>
                <w:b/>
                <w:bCs/>
                <w:sz w:val="22"/>
                <w:szCs w:val="22"/>
                <w:highlight w:val="magenta"/>
                <w:lang w:val="en-US"/>
              </w:rPr>
            </w:pPr>
            <w:r>
              <w:rPr>
                <w:b/>
                <w:bCs/>
                <w:color w:val="000000"/>
              </w:rPr>
              <w:t>AP, KMD, MSHMS, MB, OJF, org. ndërkombëtare</w:t>
            </w:r>
          </w:p>
        </w:tc>
        <w:tc>
          <w:tcPr>
            <w:tcW w:w="1765" w:type="dxa"/>
            <w:shd w:val="clear" w:color="auto" w:fill="EAF1DD" w:themeFill="accent3" w:themeFillTint="33"/>
          </w:tcPr>
          <w:p w:rsidR="00563092" w:rsidRPr="0005701D" w:rsidRDefault="00563092" w:rsidP="00563092">
            <w:pPr>
              <w:jc w:val="center"/>
              <w:rPr>
                <w:b/>
                <w:sz w:val="22"/>
                <w:szCs w:val="22"/>
                <w:lang w:val="en-US"/>
              </w:rPr>
            </w:pPr>
            <w:r>
              <w:rPr>
                <w:b/>
                <w:bCs/>
                <w:color w:val="000000"/>
              </w:rPr>
              <w:t>6M-I- 2022</w:t>
            </w:r>
            <w:r>
              <w:rPr>
                <w:b/>
                <w:bCs/>
                <w:color w:val="000000"/>
              </w:rPr>
              <w:br/>
              <w:t xml:space="preserve">– </w:t>
            </w:r>
            <w:r>
              <w:rPr>
                <w:b/>
                <w:bCs/>
                <w:color w:val="000000"/>
              </w:rPr>
              <w:br/>
              <w:t>6M-II- 2024</w:t>
            </w:r>
          </w:p>
        </w:tc>
      </w:tr>
      <w:tr w:rsidR="00563092" w:rsidRPr="00265B92" w:rsidTr="00BA6EFB">
        <w:tc>
          <w:tcPr>
            <w:tcW w:w="7308" w:type="dxa"/>
            <w:gridSpan w:val="5"/>
            <w:shd w:val="clear" w:color="auto" w:fill="auto"/>
          </w:tcPr>
          <w:p w:rsidR="00563092" w:rsidRPr="0005701D" w:rsidRDefault="00563092" w:rsidP="001A79E3">
            <w:pPr>
              <w:jc w:val="both"/>
              <w:rPr>
                <w:i/>
                <w:sz w:val="22"/>
                <w:szCs w:val="22"/>
              </w:rPr>
            </w:pPr>
            <w:bookmarkStart w:id="51" w:name="_Hlk73366581"/>
            <w:r>
              <w:rPr>
                <w:i/>
                <w:iCs/>
              </w:rPr>
              <w:t>II.1.1.a. Analiza dhe rishikimi i Kodit Penal lidhur me sigurinë  e personave LGBTI+ në  përputhje me standartet e</w:t>
            </w:r>
            <w:r w:rsidR="001A79E3">
              <w:rPr>
                <w:i/>
                <w:iCs/>
              </w:rPr>
              <w:t>v</w:t>
            </w:r>
            <w:r>
              <w:rPr>
                <w:i/>
                <w:iCs/>
              </w:rPr>
              <w:t xml:space="preserve">ropiane (parashikimi si vepër penale i përdorimit të gjuhës diskriminuese ndaj personave LGBTI+), etj. </w:t>
            </w:r>
          </w:p>
        </w:tc>
        <w:tc>
          <w:tcPr>
            <w:tcW w:w="2067" w:type="dxa"/>
          </w:tcPr>
          <w:p w:rsidR="00563092" w:rsidRPr="0005701D" w:rsidRDefault="00563092" w:rsidP="00563092">
            <w:pPr>
              <w:jc w:val="center"/>
              <w:rPr>
                <w:bCs/>
                <w:i/>
                <w:sz w:val="22"/>
                <w:szCs w:val="22"/>
                <w:lang w:val="en-US"/>
              </w:rPr>
            </w:pPr>
            <w:r>
              <w:rPr>
                <w:i/>
                <w:iCs/>
                <w:color w:val="000000"/>
              </w:rPr>
              <w:t>Raporti i analizës me rekomandimet përkatëse për ndryshim</w:t>
            </w:r>
          </w:p>
        </w:tc>
        <w:tc>
          <w:tcPr>
            <w:tcW w:w="2067" w:type="dxa"/>
            <w:gridSpan w:val="2"/>
            <w:shd w:val="clear" w:color="auto" w:fill="auto"/>
          </w:tcPr>
          <w:p w:rsidR="00563092" w:rsidRPr="0005701D" w:rsidRDefault="00563092" w:rsidP="00563092">
            <w:pPr>
              <w:jc w:val="center"/>
              <w:rPr>
                <w:i/>
                <w:iCs/>
                <w:sz w:val="22"/>
                <w:szCs w:val="22"/>
                <w:highlight w:val="magenta"/>
                <w:lang w:val="en-US"/>
              </w:rPr>
            </w:pPr>
            <w:r>
              <w:rPr>
                <w:i/>
                <w:iCs/>
                <w:color w:val="000000"/>
              </w:rPr>
              <w:t>MD</w:t>
            </w:r>
          </w:p>
        </w:tc>
        <w:tc>
          <w:tcPr>
            <w:tcW w:w="2520" w:type="dxa"/>
            <w:gridSpan w:val="2"/>
          </w:tcPr>
          <w:p w:rsidR="00563092" w:rsidRPr="0005701D" w:rsidRDefault="00563092" w:rsidP="00563092">
            <w:pPr>
              <w:jc w:val="center"/>
              <w:rPr>
                <w:i/>
                <w:sz w:val="22"/>
                <w:szCs w:val="22"/>
                <w:highlight w:val="magenta"/>
                <w:lang w:val="en-US"/>
              </w:rPr>
            </w:pPr>
            <w:r>
              <w:rPr>
                <w:i/>
                <w:iCs/>
                <w:color w:val="000000"/>
              </w:rPr>
              <w:t>AP, KMD, MSHMS, MB, OJF, org. ndërkombëtare</w:t>
            </w:r>
          </w:p>
        </w:tc>
        <w:tc>
          <w:tcPr>
            <w:tcW w:w="1765" w:type="dxa"/>
          </w:tcPr>
          <w:p w:rsidR="00563092" w:rsidRPr="0005701D" w:rsidRDefault="00563092" w:rsidP="00563092">
            <w:pPr>
              <w:jc w:val="center"/>
              <w:rPr>
                <w:i/>
                <w:sz w:val="22"/>
                <w:szCs w:val="22"/>
                <w:lang w:val="en-US"/>
              </w:rPr>
            </w:pPr>
            <w:r>
              <w:rPr>
                <w:i/>
                <w:iCs/>
                <w:color w:val="000000"/>
              </w:rPr>
              <w:t>6M-I- 2022</w:t>
            </w:r>
            <w:r>
              <w:rPr>
                <w:i/>
                <w:iCs/>
                <w:color w:val="000000"/>
              </w:rPr>
              <w:br/>
              <w:t xml:space="preserve">– </w:t>
            </w:r>
            <w:r>
              <w:rPr>
                <w:i/>
                <w:iCs/>
                <w:color w:val="000000"/>
              </w:rPr>
              <w:br/>
              <w:t>6M-II- 2023</w:t>
            </w:r>
          </w:p>
        </w:tc>
      </w:tr>
      <w:tr w:rsidR="00A32DC0" w:rsidRPr="00265B92" w:rsidTr="00BE000A">
        <w:tc>
          <w:tcPr>
            <w:tcW w:w="7308" w:type="dxa"/>
            <w:gridSpan w:val="5"/>
            <w:shd w:val="clear" w:color="auto" w:fill="auto"/>
          </w:tcPr>
          <w:p w:rsidR="00A32DC0" w:rsidRPr="0005701D" w:rsidRDefault="00A32DC0" w:rsidP="00A32DC0">
            <w:pPr>
              <w:tabs>
                <w:tab w:val="left" w:pos="1403"/>
              </w:tabs>
              <w:jc w:val="both"/>
              <w:rPr>
                <w:i/>
                <w:sz w:val="22"/>
                <w:szCs w:val="22"/>
                <w:lang w:val="en-US"/>
              </w:rPr>
            </w:pPr>
            <w:r>
              <w:rPr>
                <w:i/>
                <w:iCs/>
                <w:color w:val="000000"/>
              </w:rPr>
              <w:t>II.1.1.b. Përgatitja e projekt propozimeve për përmirësimin e KP</w:t>
            </w:r>
          </w:p>
        </w:tc>
        <w:tc>
          <w:tcPr>
            <w:tcW w:w="2067" w:type="dxa"/>
          </w:tcPr>
          <w:p w:rsidR="00A32DC0" w:rsidRPr="0005701D" w:rsidRDefault="00A32DC0" w:rsidP="00A32DC0">
            <w:pPr>
              <w:jc w:val="center"/>
              <w:rPr>
                <w:bCs/>
                <w:i/>
                <w:sz w:val="22"/>
                <w:szCs w:val="22"/>
                <w:lang w:val="en-US"/>
              </w:rPr>
            </w:pPr>
            <w:r>
              <w:rPr>
                <w:i/>
                <w:iCs/>
                <w:color w:val="000000"/>
              </w:rPr>
              <w:t xml:space="preserve">Projekt propoizimi i përgatitur i dorëezuar në </w:t>
            </w:r>
            <w:r>
              <w:rPr>
                <w:i/>
                <w:iCs/>
                <w:color w:val="000000"/>
              </w:rPr>
              <w:lastRenderedPageBreak/>
              <w:t>Kuvend</w:t>
            </w:r>
          </w:p>
        </w:tc>
        <w:tc>
          <w:tcPr>
            <w:tcW w:w="2067" w:type="dxa"/>
            <w:gridSpan w:val="2"/>
            <w:shd w:val="clear" w:color="auto" w:fill="auto"/>
          </w:tcPr>
          <w:p w:rsidR="00A32DC0" w:rsidRPr="0005701D" w:rsidRDefault="00A32DC0" w:rsidP="00A32DC0">
            <w:pPr>
              <w:jc w:val="center"/>
              <w:rPr>
                <w:b/>
                <w:bCs/>
                <w:i/>
                <w:iCs/>
                <w:sz w:val="22"/>
                <w:szCs w:val="22"/>
              </w:rPr>
            </w:pPr>
            <w:r>
              <w:rPr>
                <w:i/>
                <w:iCs/>
                <w:color w:val="000000"/>
              </w:rPr>
              <w:lastRenderedPageBreak/>
              <w:t>MD</w:t>
            </w:r>
          </w:p>
        </w:tc>
        <w:tc>
          <w:tcPr>
            <w:tcW w:w="2520" w:type="dxa"/>
            <w:gridSpan w:val="2"/>
          </w:tcPr>
          <w:p w:rsidR="00A32DC0" w:rsidRPr="0005701D" w:rsidRDefault="00A32DC0" w:rsidP="00A32DC0">
            <w:pPr>
              <w:jc w:val="center"/>
              <w:rPr>
                <w:b/>
                <w:bCs/>
                <w:i/>
                <w:iCs/>
                <w:sz w:val="22"/>
                <w:szCs w:val="22"/>
              </w:rPr>
            </w:pPr>
            <w:r>
              <w:rPr>
                <w:i/>
                <w:iCs/>
                <w:color w:val="000000"/>
              </w:rPr>
              <w:t>AP, KMD, MSHMS, MB, OJF, org. ndërkombëtare</w:t>
            </w:r>
          </w:p>
        </w:tc>
        <w:tc>
          <w:tcPr>
            <w:tcW w:w="1765" w:type="dxa"/>
          </w:tcPr>
          <w:p w:rsidR="00A32DC0" w:rsidRPr="0005701D" w:rsidRDefault="00A32DC0" w:rsidP="00A32DC0">
            <w:pPr>
              <w:jc w:val="center"/>
              <w:rPr>
                <w:i/>
                <w:sz w:val="22"/>
                <w:szCs w:val="22"/>
                <w:lang w:val="en-US"/>
              </w:rPr>
            </w:pPr>
            <w:r>
              <w:rPr>
                <w:i/>
                <w:iCs/>
                <w:color w:val="000000"/>
              </w:rPr>
              <w:t>6M-I- 2024</w:t>
            </w:r>
            <w:r>
              <w:rPr>
                <w:i/>
                <w:iCs/>
                <w:color w:val="000000"/>
              </w:rPr>
              <w:br/>
              <w:t xml:space="preserve">– </w:t>
            </w:r>
            <w:r>
              <w:rPr>
                <w:i/>
                <w:iCs/>
                <w:color w:val="000000"/>
              </w:rPr>
              <w:br/>
              <w:t>6M-II- 2024</w:t>
            </w:r>
          </w:p>
        </w:tc>
      </w:tr>
      <w:bookmarkEnd w:id="51"/>
      <w:tr w:rsidR="00A32DC0" w:rsidRPr="00265B92" w:rsidTr="00BE000A">
        <w:tc>
          <w:tcPr>
            <w:tcW w:w="7308" w:type="dxa"/>
            <w:gridSpan w:val="5"/>
            <w:shd w:val="clear" w:color="auto" w:fill="auto"/>
          </w:tcPr>
          <w:p w:rsidR="00A32DC0" w:rsidRPr="0005701D" w:rsidRDefault="00A32DC0" w:rsidP="00A32DC0">
            <w:pPr>
              <w:tabs>
                <w:tab w:val="left" w:pos="1403"/>
              </w:tabs>
              <w:jc w:val="both"/>
              <w:rPr>
                <w:i/>
                <w:sz w:val="22"/>
                <w:szCs w:val="22"/>
                <w:lang w:val="en-US"/>
              </w:rPr>
            </w:pPr>
            <w:r>
              <w:rPr>
                <w:i/>
                <w:iCs/>
                <w:color w:val="000000"/>
              </w:rPr>
              <w:lastRenderedPageBreak/>
              <w:t>III.1.1.c. Miratimi i projekt propozimeve</w:t>
            </w:r>
          </w:p>
        </w:tc>
        <w:tc>
          <w:tcPr>
            <w:tcW w:w="2067" w:type="dxa"/>
          </w:tcPr>
          <w:p w:rsidR="00A32DC0" w:rsidRPr="0005701D" w:rsidRDefault="00A32DC0" w:rsidP="00A32DC0">
            <w:pPr>
              <w:jc w:val="center"/>
              <w:rPr>
                <w:bCs/>
                <w:i/>
                <w:sz w:val="22"/>
                <w:szCs w:val="22"/>
                <w:lang w:val="en-US"/>
              </w:rPr>
            </w:pPr>
            <w:r>
              <w:rPr>
                <w:i/>
                <w:iCs/>
                <w:color w:val="000000"/>
              </w:rPr>
              <w:t>KP i ndryshuar</w:t>
            </w:r>
          </w:p>
        </w:tc>
        <w:tc>
          <w:tcPr>
            <w:tcW w:w="2067" w:type="dxa"/>
            <w:gridSpan w:val="2"/>
            <w:shd w:val="clear" w:color="auto" w:fill="auto"/>
          </w:tcPr>
          <w:p w:rsidR="00A32DC0" w:rsidRPr="0005701D" w:rsidRDefault="00A32DC0" w:rsidP="00A32DC0">
            <w:pPr>
              <w:jc w:val="center"/>
              <w:rPr>
                <w:i/>
                <w:iCs/>
                <w:sz w:val="22"/>
                <w:szCs w:val="22"/>
                <w:highlight w:val="magenta"/>
                <w:lang w:val="en-US"/>
              </w:rPr>
            </w:pPr>
            <w:r>
              <w:rPr>
                <w:i/>
                <w:iCs/>
                <w:color w:val="000000"/>
              </w:rPr>
              <w:t>Kuvendi</w:t>
            </w:r>
          </w:p>
        </w:tc>
        <w:tc>
          <w:tcPr>
            <w:tcW w:w="2520" w:type="dxa"/>
            <w:gridSpan w:val="2"/>
          </w:tcPr>
          <w:p w:rsidR="00A32DC0" w:rsidRPr="0005701D" w:rsidRDefault="00A32DC0" w:rsidP="00A32DC0">
            <w:pPr>
              <w:jc w:val="center"/>
              <w:rPr>
                <w:i/>
                <w:sz w:val="22"/>
                <w:szCs w:val="22"/>
                <w:highlight w:val="magenta"/>
                <w:lang w:val="en-US"/>
              </w:rPr>
            </w:pPr>
            <w:r>
              <w:rPr>
                <w:i/>
                <w:iCs/>
                <w:color w:val="000000"/>
              </w:rPr>
              <w:t>MD, AP, KMD, MSHMS, MB, OJF, org. ndërkombëtare</w:t>
            </w:r>
          </w:p>
        </w:tc>
        <w:tc>
          <w:tcPr>
            <w:tcW w:w="1765" w:type="dxa"/>
          </w:tcPr>
          <w:p w:rsidR="00A32DC0" w:rsidRPr="0005701D" w:rsidRDefault="00A32DC0" w:rsidP="00A32DC0">
            <w:pPr>
              <w:jc w:val="center"/>
              <w:rPr>
                <w:i/>
                <w:sz w:val="22"/>
                <w:szCs w:val="22"/>
                <w:lang w:val="en-US"/>
              </w:rPr>
            </w:pPr>
            <w:r>
              <w:rPr>
                <w:i/>
                <w:iCs/>
                <w:color w:val="000000"/>
              </w:rPr>
              <w:t>6M-I- 2024</w:t>
            </w:r>
            <w:r>
              <w:rPr>
                <w:i/>
                <w:iCs/>
                <w:color w:val="000000"/>
              </w:rPr>
              <w:br/>
              <w:t xml:space="preserve">– </w:t>
            </w:r>
            <w:r>
              <w:rPr>
                <w:i/>
                <w:iCs/>
                <w:color w:val="000000"/>
              </w:rPr>
              <w:br/>
              <w:t>6M-II- 2024</w:t>
            </w:r>
          </w:p>
        </w:tc>
      </w:tr>
      <w:tr w:rsidR="00A32DC0" w:rsidRPr="00265B92" w:rsidTr="00BE000A">
        <w:tc>
          <w:tcPr>
            <w:tcW w:w="9375" w:type="dxa"/>
            <w:gridSpan w:val="6"/>
            <w:shd w:val="clear" w:color="auto" w:fill="EAF1DD" w:themeFill="accent3" w:themeFillTint="33"/>
          </w:tcPr>
          <w:p w:rsidR="00A32DC0" w:rsidRPr="0005701D" w:rsidRDefault="00A32DC0" w:rsidP="00A32DC0">
            <w:pPr>
              <w:jc w:val="both"/>
              <w:rPr>
                <w:b/>
                <w:bCs/>
                <w:sz w:val="22"/>
                <w:szCs w:val="22"/>
                <w:lang w:val="en-US"/>
              </w:rPr>
            </w:pPr>
            <w:r>
              <w:rPr>
                <w:b/>
                <w:bCs/>
                <w:color w:val="000000"/>
              </w:rPr>
              <w:t>II.1.2. Përmirësimi i legjislacionit familjar (Kodi i Familjes) duke konsideruar edhe të drejtën ndërkombëtare private për të rregulluar njohjen e lidhjeve familjare në situata ndërkufitare.</w:t>
            </w:r>
          </w:p>
        </w:tc>
        <w:tc>
          <w:tcPr>
            <w:tcW w:w="2067" w:type="dxa"/>
            <w:gridSpan w:val="2"/>
            <w:shd w:val="clear" w:color="auto" w:fill="EAF1DD" w:themeFill="accent3" w:themeFillTint="33"/>
          </w:tcPr>
          <w:p w:rsidR="00A32DC0" w:rsidRPr="0005701D" w:rsidRDefault="00A32DC0" w:rsidP="00A32DC0">
            <w:pPr>
              <w:rPr>
                <w:b/>
                <w:sz w:val="22"/>
                <w:szCs w:val="22"/>
                <w:highlight w:val="magenta"/>
                <w:lang w:val="en-US"/>
              </w:rPr>
            </w:pPr>
            <w:r>
              <w:rPr>
                <w:b/>
                <w:bCs/>
                <w:color w:val="000000"/>
              </w:rPr>
              <w:t xml:space="preserve">            MD </w:t>
            </w:r>
          </w:p>
        </w:tc>
        <w:tc>
          <w:tcPr>
            <w:tcW w:w="2520" w:type="dxa"/>
            <w:gridSpan w:val="2"/>
            <w:shd w:val="clear" w:color="auto" w:fill="EAF1DD" w:themeFill="accent3" w:themeFillTint="33"/>
            <w:vAlign w:val="bottom"/>
          </w:tcPr>
          <w:p w:rsidR="00A32DC0" w:rsidRPr="0005701D" w:rsidRDefault="00A32DC0" w:rsidP="00A32DC0">
            <w:pPr>
              <w:jc w:val="center"/>
              <w:rPr>
                <w:i/>
                <w:sz w:val="22"/>
                <w:szCs w:val="22"/>
                <w:highlight w:val="magenta"/>
                <w:lang w:val="en-US"/>
              </w:rPr>
            </w:pPr>
            <w:r>
              <w:rPr>
                <w:b/>
                <w:bCs/>
                <w:color w:val="000000"/>
              </w:rPr>
              <w:t>AP, KMD, MSHMS, MB, OJF, org. ndërkombëtare</w:t>
            </w:r>
          </w:p>
        </w:tc>
        <w:tc>
          <w:tcPr>
            <w:tcW w:w="1765" w:type="dxa"/>
            <w:shd w:val="clear" w:color="auto" w:fill="EAF1DD" w:themeFill="accent3" w:themeFillTint="33"/>
          </w:tcPr>
          <w:p w:rsidR="00A32DC0" w:rsidRPr="0005701D" w:rsidRDefault="00A32DC0" w:rsidP="00A32DC0">
            <w:pPr>
              <w:jc w:val="center"/>
              <w:rPr>
                <w:i/>
                <w:sz w:val="22"/>
                <w:szCs w:val="22"/>
                <w:lang w:val="en-US"/>
              </w:rPr>
            </w:pPr>
            <w:r>
              <w:rPr>
                <w:b/>
                <w:bCs/>
                <w:i/>
                <w:iCs/>
                <w:color w:val="000000"/>
              </w:rPr>
              <w:t>6M-I- 2024</w:t>
            </w:r>
            <w:r>
              <w:rPr>
                <w:b/>
                <w:bCs/>
                <w:i/>
                <w:iCs/>
                <w:color w:val="000000"/>
              </w:rPr>
              <w:br/>
              <w:t xml:space="preserve">– </w:t>
            </w:r>
            <w:r>
              <w:rPr>
                <w:b/>
                <w:bCs/>
                <w:i/>
                <w:iCs/>
                <w:color w:val="000000"/>
              </w:rPr>
              <w:br/>
              <w:t>6M-II- 2027</w:t>
            </w:r>
          </w:p>
        </w:tc>
      </w:tr>
      <w:tr w:rsidR="00A32DC0" w:rsidRPr="00265B92" w:rsidTr="00BA6EFB">
        <w:tc>
          <w:tcPr>
            <w:tcW w:w="7308" w:type="dxa"/>
            <w:gridSpan w:val="5"/>
            <w:shd w:val="clear" w:color="auto" w:fill="auto"/>
          </w:tcPr>
          <w:p w:rsidR="00A32DC0" w:rsidRPr="0005701D" w:rsidRDefault="00A32DC0" w:rsidP="00A32DC0">
            <w:pPr>
              <w:tabs>
                <w:tab w:val="left" w:pos="1403"/>
              </w:tabs>
              <w:jc w:val="both"/>
              <w:rPr>
                <w:i/>
                <w:sz w:val="22"/>
                <w:szCs w:val="22"/>
                <w:lang w:val="en-US"/>
              </w:rPr>
            </w:pPr>
            <w:r>
              <w:rPr>
                <w:i/>
                <w:iCs/>
                <w:color w:val="000000"/>
              </w:rPr>
              <w:t xml:space="preserve">II.1.2.a.Analiza dhe rishikimi i Kodit të Familjes për të siguruar të drejtat e martesës/bashkëjetesës për çiftet e së njëjtës gjini në baza të barabarta me çiftet e seksit të ndryshëm,  regjimet pasurore, si dhe rishikimi i së Drejtës Ndërkombëtare Private për të rregulluar njohjen e lidhjeve familjare në situata ndërkufitare.  </w:t>
            </w:r>
          </w:p>
        </w:tc>
        <w:tc>
          <w:tcPr>
            <w:tcW w:w="2067" w:type="dxa"/>
          </w:tcPr>
          <w:p w:rsidR="00A32DC0" w:rsidRPr="0005701D" w:rsidRDefault="00A32DC0" w:rsidP="00A32DC0">
            <w:pPr>
              <w:jc w:val="center"/>
              <w:rPr>
                <w:bCs/>
                <w:i/>
                <w:sz w:val="22"/>
                <w:szCs w:val="22"/>
                <w:lang w:val="en-US"/>
              </w:rPr>
            </w:pPr>
            <w:r>
              <w:rPr>
                <w:i/>
                <w:iCs/>
                <w:color w:val="000000"/>
              </w:rPr>
              <w:t>Raporti i analizës me rekomandimet përkatëse për ndryshim</w:t>
            </w:r>
          </w:p>
        </w:tc>
        <w:tc>
          <w:tcPr>
            <w:tcW w:w="2067" w:type="dxa"/>
            <w:gridSpan w:val="2"/>
            <w:shd w:val="clear" w:color="auto" w:fill="auto"/>
          </w:tcPr>
          <w:p w:rsidR="00A32DC0" w:rsidRPr="0005701D" w:rsidRDefault="00A32DC0" w:rsidP="00A32DC0">
            <w:pPr>
              <w:jc w:val="center"/>
              <w:rPr>
                <w:b/>
                <w:bCs/>
                <w:i/>
                <w:sz w:val="22"/>
                <w:szCs w:val="22"/>
                <w:highlight w:val="magenta"/>
                <w:lang w:val="en-US"/>
              </w:rPr>
            </w:pPr>
            <w:r>
              <w:rPr>
                <w:i/>
                <w:iCs/>
                <w:color w:val="000000"/>
              </w:rPr>
              <w:t xml:space="preserve">MD </w:t>
            </w:r>
          </w:p>
        </w:tc>
        <w:tc>
          <w:tcPr>
            <w:tcW w:w="2520" w:type="dxa"/>
            <w:gridSpan w:val="2"/>
          </w:tcPr>
          <w:p w:rsidR="00A32DC0" w:rsidRPr="0005701D" w:rsidRDefault="00A32DC0" w:rsidP="00A32DC0">
            <w:pPr>
              <w:jc w:val="center"/>
              <w:rPr>
                <w:i/>
                <w:sz w:val="22"/>
                <w:szCs w:val="22"/>
                <w:highlight w:val="magenta"/>
                <w:lang w:val="en-US"/>
              </w:rPr>
            </w:pPr>
            <w:r>
              <w:rPr>
                <w:i/>
                <w:iCs/>
                <w:color w:val="000000"/>
              </w:rPr>
              <w:br/>
              <w:t>AP, KMD, MSHMS, MB, OJF, org. ndërkombëtare</w:t>
            </w:r>
          </w:p>
        </w:tc>
        <w:tc>
          <w:tcPr>
            <w:tcW w:w="1765" w:type="dxa"/>
          </w:tcPr>
          <w:p w:rsidR="00A32DC0" w:rsidRPr="0005701D" w:rsidRDefault="00A32DC0" w:rsidP="00A32DC0">
            <w:pPr>
              <w:jc w:val="center"/>
              <w:rPr>
                <w:i/>
                <w:sz w:val="22"/>
                <w:szCs w:val="22"/>
                <w:lang w:val="en-US"/>
              </w:rPr>
            </w:pPr>
            <w:r>
              <w:rPr>
                <w:i/>
                <w:iCs/>
                <w:color w:val="000000"/>
              </w:rPr>
              <w:t>6M-I- 2024</w:t>
            </w:r>
            <w:r>
              <w:rPr>
                <w:i/>
                <w:iCs/>
                <w:color w:val="000000"/>
              </w:rPr>
              <w:br/>
              <w:t xml:space="preserve">– </w:t>
            </w:r>
            <w:r>
              <w:rPr>
                <w:i/>
                <w:iCs/>
                <w:color w:val="000000"/>
              </w:rPr>
              <w:br/>
              <w:t>6M-II- 2026</w:t>
            </w:r>
          </w:p>
        </w:tc>
      </w:tr>
      <w:tr w:rsidR="00A32DC0" w:rsidRPr="00265B92" w:rsidTr="00BE000A">
        <w:tc>
          <w:tcPr>
            <w:tcW w:w="7308" w:type="dxa"/>
            <w:gridSpan w:val="5"/>
            <w:shd w:val="clear" w:color="auto" w:fill="auto"/>
          </w:tcPr>
          <w:p w:rsidR="00A32DC0" w:rsidRPr="0005701D" w:rsidRDefault="00A32DC0" w:rsidP="00A32DC0">
            <w:pPr>
              <w:tabs>
                <w:tab w:val="left" w:pos="1403"/>
              </w:tabs>
              <w:jc w:val="both"/>
              <w:rPr>
                <w:i/>
                <w:sz w:val="22"/>
                <w:szCs w:val="22"/>
                <w:lang w:val="en-US"/>
              </w:rPr>
            </w:pPr>
            <w:r>
              <w:rPr>
                <w:i/>
                <w:iCs/>
                <w:color w:val="000000"/>
              </w:rPr>
              <w:t>II.1.2.b. Përgatitja e projekt propozimeve për përmirësimin e KP</w:t>
            </w:r>
          </w:p>
        </w:tc>
        <w:tc>
          <w:tcPr>
            <w:tcW w:w="2067" w:type="dxa"/>
          </w:tcPr>
          <w:p w:rsidR="00A32DC0" w:rsidRPr="0005701D" w:rsidRDefault="00A32DC0" w:rsidP="00A32DC0">
            <w:pPr>
              <w:jc w:val="center"/>
              <w:rPr>
                <w:bCs/>
                <w:i/>
                <w:sz w:val="22"/>
                <w:szCs w:val="22"/>
                <w:lang w:val="en-US"/>
              </w:rPr>
            </w:pPr>
            <w:r>
              <w:rPr>
                <w:i/>
                <w:iCs/>
                <w:color w:val="000000"/>
              </w:rPr>
              <w:t>Projekt propoizimi i përgatitur i dorëezuar në Kuvend</w:t>
            </w:r>
          </w:p>
        </w:tc>
        <w:tc>
          <w:tcPr>
            <w:tcW w:w="2067" w:type="dxa"/>
            <w:gridSpan w:val="2"/>
            <w:shd w:val="clear" w:color="auto" w:fill="auto"/>
          </w:tcPr>
          <w:p w:rsidR="00A32DC0" w:rsidRPr="0005701D" w:rsidRDefault="00A32DC0" w:rsidP="00A32DC0">
            <w:pPr>
              <w:jc w:val="center"/>
              <w:rPr>
                <w:b/>
                <w:i/>
                <w:iCs/>
                <w:sz w:val="22"/>
                <w:szCs w:val="22"/>
                <w:highlight w:val="magenta"/>
                <w:lang w:val="en-US"/>
              </w:rPr>
            </w:pPr>
            <w:r>
              <w:rPr>
                <w:i/>
                <w:iCs/>
                <w:color w:val="000000"/>
              </w:rPr>
              <w:t>MD</w:t>
            </w:r>
          </w:p>
        </w:tc>
        <w:tc>
          <w:tcPr>
            <w:tcW w:w="2520" w:type="dxa"/>
            <w:gridSpan w:val="2"/>
          </w:tcPr>
          <w:p w:rsidR="00A32DC0" w:rsidRPr="0005701D" w:rsidRDefault="00A32DC0" w:rsidP="00A32DC0">
            <w:pPr>
              <w:jc w:val="center"/>
              <w:rPr>
                <w:b/>
                <w:i/>
                <w:iCs/>
                <w:sz w:val="22"/>
                <w:szCs w:val="22"/>
              </w:rPr>
            </w:pPr>
            <w:r>
              <w:rPr>
                <w:i/>
                <w:iCs/>
                <w:color w:val="000000"/>
              </w:rPr>
              <w:t>AP, KMD, MSHMS, MB, OJF, org. ndërkombëtare</w:t>
            </w:r>
          </w:p>
        </w:tc>
        <w:tc>
          <w:tcPr>
            <w:tcW w:w="1765" w:type="dxa"/>
          </w:tcPr>
          <w:p w:rsidR="00A32DC0" w:rsidRPr="0005701D" w:rsidRDefault="00A32DC0" w:rsidP="00A32DC0">
            <w:pPr>
              <w:jc w:val="center"/>
              <w:rPr>
                <w:i/>
                <w:sz w:val="22"/>
                <w:szCs w:val="22"/>
                <w:lang w:val="en-US"/>
              </w:rPr>
            </w:pPr>
            <w:r>
              <w:rPr>
                <w:i/>
                <w:iCs/>
                <w:color w:val="000000"/>
              </w:rPr>
              <w:t>6M-I- 2027</w:t>
            </w:r>
            <w:r>
              <w:rPr>
                <w:i/>
                <w:iCs/>
                <w:color w:val="000000"/>
              </w:rPr>
              <w:br/>
              <w:t xml:space="preserve">– </w:t>
            </w:r>
            <w:r>
              <w:rPr>
                <w:i/>
                <w:iCs/>
                <w:color w:val="000000"/>
              </w:rPr>
              <w:br/>
              <w:t>6M-II- 2027</w:t>
            </w:r>
          </w:p>
        </w:tc>
      </w:tr>
      <w:tr w:rsidR="00A32DC0" w:rsidRPr="00265B92" w:rsidTr="00BA6EFB">
        <w:tc>
          <w:tcPr>
            <w:tcW w:w="7308" w:type="dxa"/>
            <w:gridSpan w:val="5"/>
            <w:shd w:val="clear" w:color="auto" w:fill="auto"/>
          </w:tcPr>
          <w:p w:rsidR="00A32DC0" w:rsidRPr="0005701D" w:rsidRDefault="00A32DC0" w:rsidP="00A32DC0">
            <w:pPr>
              <w:tabs>
                <w:tab w:val="left" w:pos="1403"/>
              </w:tabs>
              <w:jc w:val="both"/>
              <w:rPr>
                <w:i/>
                <w:sz w:val="22"/>
                <w:szCs w:val="22"/>
                <w:lang w:val="en-US"/>
              </w:rPr>
            </w:pPr>
            <w:r>
              <w:rPr>
                <w:i/>
                <w:iCs/>
                <w:color w:val="000000"/>
              </w:rPr>
              <w:t>III.1.2.c. Miratimi i projekt propozimeve</w:t>
            </w:r>
          </w:p>
        </w:tc>
        <w:tc>
          <w:tcPr>
            <w:tcW w:w="2067" w:type="dxa"/>
          </w:tcPr>
          <w:p w:rsidR="00A32DC0" w:rsidRPr="0005701D" w:rsidRDefault="00A32DC0" w:rsidP="00A32DC0">
            <w:pPr>
              <w:jc w:val="center"/>
              <w:rPr>
                <w:bCs/>
                <w:i/>
                <w:sz w:val="22"/>
                <w:szCs w:val="22"/>
                <w:lang w:val="en-US"/>
              </w:rPr>
            </w:pPr>
            <w:r>
              <w:rPr>
                <w:i/>
                <w:iCs/>
                <w:color w:val="000000"/>
              </w:rPr>
              <w:t>KF i ndryshuar</w:t>
            </w:r>
          </w:p>
        </w:tc>
        <w:tc>
          <w:tcPr>
            <w:tcW w:w="2067" w:type="dxa"/>
            <w:gridSpan w:val="2"/>
            <w:shd w:val="clear" w:color="auto" w:fill="auto"/>
          </w:tcPr>
          <w:p w:rsidR="00A32DC0" w:rsidRPr="0005701D" w:rsidRDefault="00A32DC0" w:rsidP="00A32DC0">
            <w:pPr>
              <w:jc w:val="center"/>
              <w:rPr>
                <w:b/>
                <w:i/>
                <w:iCs/>
                <w:sz w:val="22"/>
                <w:szCs w:val="22"/>
                <w:highlight w:val="magenta"/>
                <w:lang w:val="en-US"/>
              </w:rPr>
            </w:pPr>
            <w:r>
              <w:rPr>
                <w:i/>
                <w:iCs/>
                <w:color w:val="000000"/>
              </w:rPr>
              <w:t>Kuvendi</w:t>
            </w:r>
          </w:p>
        </w:tc>
        <w:tc>
          <w:tcPr>
            <w:tcW w:w="2520" w:type="dxa"/>
            <w:gridSpan w:val="2"/>
          </w:tcPr>
          <w:p w:rsidR="00A32DC0" w:rsidRPr="0005701D" w:rsidRDefault="00A32DC0" w:rsidP="00A32DC0">
            <w:pPr>
              <w:jc w:val="center"/>
              <w:rPr>
                <w:b/>
                <w:i/>
                <w:iCs/>
                <w:sz w:val="22"/>
                <w:szCs w:val="22"/>
              </w:rPr>
            </w:pPr>
            <w:r>
              <w:rPr>
                <w:i/>
                <w:iCs/>
                <w:color w:val="000000"/>
              </w:rPr>
              <w:t>MD, AP, KMD, MSHMS, MB, OJF, org. ndërkombëtare</w:t>
            </w:r>
          </w:p>
        </w:tc>
        <w:tc>
          <w:tcPr>
            <w:tcW w:w="1765" w:type="dxa"/>
          </w:tcPr>
          <w:p w:rsidR="00A32DC0" w:rsidRPr="0005701D" w:rsidRDefault="00A32DC0" w:rsidP="00A32DC0">
            <w:pPr>
              <w:jc w:val="center"/>
              <w:rPr>
                <w:i/>
                <w:sz w:val="22"/>
                <w:szCs w:val="22"/>
                <w:lang w:val="en-US"/>
              </w:rPr>
            </w:pPr>
            <w:r>
              <w:rPr>
                <w:i/>
                <w:iCs/>
                <w:color w:val="000000"/>
              </w:rPr>
              <w:t>6M-I- 2027</w:t>
            </w:r>
            <w:r>
              <w:rPr>
                <w:i/>
                <w:iCs/>
                <w:color w:val="000000"/>
              </w:rPr>
              <w:br/>
              <w:t xml:space="preserve">– </w:t>
            </w:r>
            <w:r>
              <w:rPr>
                <w:i/>
                <w:iCs/>
                <w:color w:val="000000"/>
              </w:rPr>
              <w:br/>
              <w:t>6M-II- 2027</w:t>
            </w:r>
          </w:p>
        </w:tc>
      </w:tr>
      <w:tr w:rsidR="00A32DC0" w:rsidRPr="00265B92" w:rsidTr="003156AA">
        <w:tc>
          <w:tcPr>
            <w:tcW w:w="9375" w:type="dxa"/>
            <w:gridSpan w:val="6"/>
            <w:shd w:val="clear" w:color="auto" w:fill="auto"/>
          </w:tcPr>
          <w:p w:rsidR="00A32DC0" w:rsidRDefault="00A32DC0" w:rsidP="00BE000A">
            <w:pPr>
              <w:jc w:val="both"/>
              <w:rPr>
                <w:i/>
                <w:iCs/>
                <w:color w:val="000000"/>
              </w:rPr>
            </w:pPr>
            <w:r>
              <w:rPr>
                <w:b/>
                <w:bCs/>
                <w:color w:val="000000"/>
              </w:rPr>
              <w:t>II.1.3.Përgatitja e  disa ligjeve të reja për mbrojtjen e të drejtave të njeriut të personave LGBTI+, si Ligji për Njohjen e Identitetit Gjinor, aktet nënligjore për mbrojtjen e personave interseks në Shqipëri, si dhe rishikimi i disa ligjeve ekzistuese.</w:t>
            </w:r>
          </w:p>
        </w:tc>
        <w:tc>
          <w:tcPr>
            <w:tcW w:w="2067" w:type="dxa"/>
            <w:gridSpan w:val="2"/>
            <w:shd w:val="clear" w:color="auto" w:fill="auto"/>
          </w:tcPr>
          <w:p w:rsidR="00A32DC0" w:rsidRDefault="00A32DC0" w:rsidP="00A32DC0">
            <w:pPr>
              <w:jc w:val="center"/>
              <w:rPr>
                <w:i/>
                <w:iCs/>
                <w:color w:val="000000"/>
              </w:rPr>
            </w:pPr>
            <w:r>
              <w:rPr>
                <w:b/>
                <w:bCs/>
                <w:color w:val="000000"/>
              </w:rPr>
              <w:t xml:space="preserve"> </w:t>
            </w:r>
            <w:r>
              <w:rPr>
                <w:b/>
                <w:bCs/>
                <w:i/>
                <w:iCs/>
                <w:color w:val="000000"/>
              </w:rPr>
              <w:t>MSHMS</w:t>
            </w:r>
          </w:p>
        </w:tc>
        <w:tc>
          <w:tcPr>
            <w:tcW w:w="2520" w:type="dxa"/>
            <w:gridSpan w:val="2"/>
          </w:tcPr>
          <w:p w:rsidR="00A32DC0" w:rsidRDefault="00A32DC0" w:rsidP="00A32DC0">
            <w:pPr>
              <w:jc w:val="center"/>
              <w:rPr>
                <w:i/>
                <w:iCs/>
                <w:color w:val="000000"/>
              </w:rPr>
            </w:pPr>
            <w:r>
              <w:rPr>
                <w:b/>
                <w:bCs/>
                <w:color w:val="000000"/>
              </w:rPr>
              <w:t>MD, AP, KMD,  MB, OJF, org. ndërkombëtare</w:t>
            </w:r>
          </w:p>
        </w:tc>
        <w:tc>
          <w:tcPr>
            <w:tcW w:w="1765" w:type="dxa"/>
          </w:tcPr>
          <w:p w:rsidR="00A32DC0" w:rsidRDefault="00A32DC0" w:rsidP="00A32DC0">
            <w:pPr>
              <w:jc w:val="center"/>
              <w:rPr>
                <w:i/>
                <w:iCs/>
                <w:color w:val="000000"/>
              </w:rPr>
            </w:pPr>
            <w:r>
              <w:rPr>
                <w:b/>
                <w:bCs/>
                <w:color w:val="000000"/>
              </w:rPr>
              <w:t>6M-I- 2022</w:t>
            </w:r>
            <w:r>
              <w:rPr>
                <w:b/>
                <w:bCs/>
                <w:color w:val="000000"/>
              </w:rPr>
              <w:br/>
              <w:t xml:space="preserve">– </w:t>
            </w:r>
            <w:r>
              <w:rPr>
                <w:b/>
                <w:bCs/>
                <w:color w:val="000000"/>
              </w:rPr>
              <w:br/>
              <w:t>6M-II- 2027</w:t>
            </w:r>
          </w:p>
        </w:tc>
      </w:tr>
      <w:tr w:rsidR="00A32DC0" w:rsidRPr="00265B92" w:rsidTr="00BA6EFB">
        <w:tc>
          <w:tcPr>
            <w:tcW w:w="7308" w:type="dxa"/>
            <w:gridSpan w:val="5"/>
            <w:shd w:val="clear" w:color="auto" w:fill="auto"/>
          </w:tcPr>
          <w:p w:rsidR="00A32DC0" w:rsidRDefault="00A32DC0" w:rsidP="00A32DC0">
            <w:pPr>
              <w:tabs>
                <w:tab w:val="left" w:pos="1403"/>
              </w:tabs>
              <w:jc w:val="both"/>
              <w:rPr>
                <w:i/>
                <w:iCs/>
                <w:color w:val="000000"/>
              </w:rPr>
            </w:pPr>
            <w:r>
              <w:rPr>
                <w:i/>
                <w:iCs/>
                <w:color w:val="000000"/>
              </w:rPr>
              <w:t>II.1.3.a.  Përgatitja e një projekt ligji që siguron të drejtën për njohjen ligjore të gjinisë, dhe një ligji që mbron të drejtat e njeriut të personave interseks.</w:t>
            </w:r>
          </w:p>
        </w:tc>
        <w:tc>
          <w:tcPr>
            <w:tcW w:w="2067" w:type="dxa"/>
          </w:tcPr>
          <w:p w:rsidR="00A32DC0" w:rsidRDefault="00A32DC0" w:rsidP="00A32DC0">
            <w:pPr>
              <w:jc w:val="center"/>
              <w:rPr>
                <w:i/>
                <w:iCs/>
                <w:color w:val="000000"/>
              </w:rPr>
            </w:pPr>
            <w:r>
              <w:rPr>
                <w:i/>
                <w:iCs/>
                <w:color w:val="000000"/>
              </w:rPr>
              <w:t>Proejkt ligji i përgatitur</w:t>
            </w:r>
          </w:p>
        </w:tc>
        <w:tc>
          <w:tcPr>
            <w:tcW w:w="2067" w:type="dxa"/>
            <w:gridSpan w:val="2"/>
            <w:shd w:val="clear" w:color="auto" w:fill="auto"/>
          </w:tcPr>
          <w:p w:rsidR="00A32DC0" w:rsidRDefault="00A32DC0" w:rsidP="00A32DC0">
            <w:pPr>
              <w:jc w:val="center"/>
              <w:rPr>
                <w:i/>
                <w:iCs/>
                <w:color w:val="000000"/>
              </w:rPr>
            </w:pPr>
            <w:r>
              <w:rPr>
                <w:i/>
                <w:iCs/>
                <w:color w:val="000000"/>
              </w:rPr>
              <w:t xml:space="preserve">MSHMS </w:t>
            </w:r>
          </w:p>
        </w:tc>
        <w:tc>
          <w:tcPr>
            <w:tcW w:w="2520" w:type="dxa"/>
            <w:gridSpan w:val="2"/>
          </w:tcPr>
          <w:p w:rsidR="00A32DC0" w:rsidRDefault="00A32DC0" w:rsidP="00A32DC0">
            <w:pPr>
              <w:jc w:val="center"/>
              <w:rPr>
                <w:i/>
                <w:iCs/>
                <w:color w:val="000000"/>
              </w:rPr>
            </w:pPr>
            <w:r>
              <w:rPr>
                <w:i/>
                <w:iCs/>
                <w:color w:val="000000"/>
              </w:rPr>
              <w:t>MD, AP, KMD,  MB, OJF, org. ndërkombëtare</w:t>
            </w:r>
          </w:p>
        </w:tc>
        <w:tc>
          <w:tcPr>
            <w:tcW w:w="1765" w:type="dxa"/>
          </w:tcPr>
          <w:p w:rsidR="00A32DC0" w:rsidRDefault="00A32DC0" w:rsidP="00A32DC0">
            <w:pPr>
              <w:jc w:val="center"/>
              <w:rPr>
                <w:i/>
                <w:iCs/>
                <w:color w:val="000000"/>
              </w:rPr>
            </w:pPr>
            <w:r>
              <w:rPr>
                <w:i/>
                <w:iCs/>
                <w:color w:val="000000"/>
              </w:rPr>
              <w:t>6M-I- 2024</w:t>
            </w:r>
            <w:r>
              <w:rPr>
                <w:i/>
                <w:iCs/>
                <w:color w:val="000000"/>
              </w:rPr>
              <w:br/>
              <w:t xml:space="preserve">– </w:t>
            </w:r>
            <w:r>
              <w:rPr>
                <w:i/>
                <w:iCs/>
                <w:color w:val="000000"/>
              </w:rPr>
              <w:br/>
              <w:t>6M-II- 2025</w:t>
            </w:r>
          </w:p>
        </w:tc>
      </w:tr>
      <w:tr w:rsidR="00A32DC0" w:rsidRPr="00265B92" w:rsidTr="00BA6EFB">
        <w:tc>
          <w:tcPr>
            <w:tcW w:w="7308" w:type="dxa"/>
            <w:gridSpan w:val="5"/>
            <w:shd w:val="clear" w:color="auto" w:fill="auto"/>
          </w:tcPr>
          <w:p w:rsidR="00A32DC0" w:rsidRDefault="00A32DC0" w:rsidP="00A32DC0">
            <w:pPr>
              <w:tabs>
                <w:tab w:val="left" w:pos="1403"/>
              </w:tabs>
              <w:jc w:val="both"/>
              <w:rPr>
                <w:i/>
                <w:iCs/>
                <w:color w:val="000000"/>
              </w:rPr>
            </w:pPr>
            <w:r>
              <w:rPr>
                <w:i/>
                <w:iCs/>
                <w:color w:val="000000"/>
              </w:rPr>
              <w:t>II.1.3.b. Miratimi i projekt ligjit</w:t>
            </w:r>
          </w:p>
        </w:tc>
        <w:tc>
          <w:tcPr>
            <w:tcW w:w="2067" w:type="dxa"/>
          </w:tcPr>
          <w:p w:rsidR="00A32DC0" w:rsidRDefault="00A32DC0" w:rsidP="00A32DC0">
            <w:pPr>
              <w:jc w:val="center"/>
              <w:rPr>
                <w:i/>
                <w:iCs/>
                <w:color w:val="000000"/>
              </w:rPr>
            </w:pPr>
            <w:r>
              <w:rPr>
                <w:i/>
                <w:iCs/>
                <w:color w:val="000000"/>
              </w:rPr>
              <w:t>Ligji i miratuar</w:t>
            </w:r>
          </w:p>
        </w:tc>
        <w:tc>
          <w:tcPr>
            <w:tcW w:w="2067" w:type="dxa"/>
            <w:gridSpan w:val="2"/>
            <w:shd w:val="clear" w:color="auto" w:fill="auto"/>
          </w:tcPr>
          <w:p w:rsidR="00A32DC0" w:rsidRDefault="00A32DC0" w:rsidP="00A32DC0">
            <w:pPr>
              <w:jc w:val="center"/>
              <w:rPr>
                <w:i/>
                <w:iCs/>
                <w:color w:val="000000"/>
              </w:rPr>
            </w:pPr>
            <w:r>
              <w:rPr>
                <w:i/>
                <w:iCs/>
                <w:color w:val="000000"/>
              </w:rPr>
              <w:t>Kuvendi</w:t>
            </w:r>
          </w:p>
        </w:tc>
        <w:tc>
          <w:tcPr>
            <w:tcW w:w="2520" w:type="dxa"/>
            <w:gridSpan w:val="2"/>
          </w:tcPr>
          <w:p w:rsidR="00A32DC0" w:rsidRDefault="00A32DC0" w:rsidP="00A32DC0">
            <w:pPr>
              <w:jc w:val="center"/>
              <w:rPr>
                <w:i/>
                <w:iCs/>
                <w:color w:val="000000"/>
              </w:rPr>
            </w:pPr>
            <w:r>
              <w:rPr>
                <w:i/>
                <w:iCs/>
                <w:color w:val="000000"/>
              </w:rPr>
              <w:t>MD, AP, KMD, MSHMS, MB, OJF, org. ndërkombëtare</w:t>
            </w:r>
          </w:p>
        </w:tc>
        <w:tc>
          <w:tcPr>
            <w:tcW w:w="1765" w:type="dxa"/>
          </w:tcPr>
          <w:p w:rsidR="00A32DC0" w:rsidRDefault="00A32DC0" w:rsidP="00A32DC0">
            <w:pPr>
              <w:jc w:val="center"/>
              <w:rPr>
                <w:i/>
                <w:iCs/>
                <w:color w:val="000000"/>
              </w:rPr>
            </w:pPr>
            <w:r>
              <w:rPr>
                <w:i/>
                <w:iCs/>
                <w:color w:val="000000"/>
              </w:rPr>
              <w:t>6M-I- 2026</w:t>
            </w:r>
            <w:r>
              <w:rPr>
                <w:i/>
                <w:iCs/>
                <w:color w:val="000000"/>
              </w:rPr>
              <w:br/>
              <w:t xml:space="preserve">– </w:t>
            </w:r>
            <w:r>
              <w:rPr>
                <w:i/>
                <w:iCs/>
                <w:color w:val="000000"/>
              </w:rPr>
              <w:br/>
              <w:t>6M-II- 2026</w:t>
            </w:r>
          </w:p>
        </w:tc>
      </w:tr>
      <w:tr w:rsidR="00A32DC0" w:rsidRPr="00265B92" w:rsidTr="00BA6EFB">
        <w:tc>
          <w:tcPr>
            <w:tcW w:w="7308" w:type="dxa"/>
            <w:gridSpan w:val="5"/>
            <w:shd w:val="clear" w:color="auto" w:fill="auto"/>
          </w:tcPr>
          <w:p w:rsidR="00A32DC0" w:rsidRDefault="00A32DC0" w:rsidP="00A32DC0">
            <w:pPr>
              <w:tabs>
                <w:tab w:val="left" w:pos="1403"/>
              </w:tabs>
              <w:jc w:val="both"/>
              <w:rPr>
                <w:i/>
                <w:iCs/>
                <w:color w:val="000000"/>
              </w:rPr>
            </w:pPr>
            <w:r>
              <w:rPr>
                <w:i/>
                <w:iCs/>
                <w:color w:val="000000"/>
              </w:rPr>
              <w:t>II.1.3.c. Përmirësimi i Ligjit për Shëndetin Riprodhues, duke evidentuar në të qartësisht të drejtat njerësore të personave LGBTI+</w:t>
            </w:r>
          </w:p>
        </w:tc>
        <w:tc>
          <w:tcPr>
            <w:tcW w:w="2067" w:type="dxa"/>
          </w:tcPr>
          <w:p w:rsidR="00A32DC0" w:rsidRDefault="00A32DC0" w:rsidP="00A32DC0">
            <w:pPr>
              <w:jc w:val="center"/>
              <w:rPr>
                <w:i/>
                <w:iCs/>
                <w:color w:val="000000"/>
              </w:rPr>
            </w:pPr>
            <w:r>
              <w:rPr>
                <w:i/>
                <w:iCs/>
                <w:color w:val="000000"/>
              </w:rPr>
              <w:t>Proejkt ligji i përgatitur</w:t>
            </w:r>
          </w:p>
        </w:tc>
        <w:tc>
          <w:tcPr>
            <w:tcW w:w="2067" w:type="dxa"/>
            <w:gridSpan w:val="2"/>
            <w:shd w:val="clear" w:color="auto" w:fill="auto"/>
          </w:tcPr>
          <w:p w:rsidR="00A32DC0" w:rsidRDefault="00A32DC0" w:rsidP="00A32DC0">
            <w:pPr>
              <w:jc w:val="center"/>
              <w:rPr>
                <w:i/>
                <w:iCs/>
                <w:color w:val="000000"/>
              </w:rPr>
            </w:pPr>
            <w:r>
              <w:rPr>
                <w:i/>
                <w:iCs/>
                <w:color w:val="000000"/>
              </w:rPr>
              <w:t xml:space="preserve">MSHMS </w:t>
            </w:r>
          </w:p>
        </w:tc>
        <w:tc>
          <w:tcPr>
            <w:tcW w:w="2520" w:type="dxa"/>
            <w:gridSpan w:val="2"/>
          </w:tcPr>
          <w:p w:rsidR="00A32DC0" w:rsidRDefault="00A32DC0" w:rsidP="00A32DC0">
            <w:pPr>
              <w:jc w:val="center"/>
              <w:rPr>
                <w:i/>
                <w:iCs/>
                <w:color w:val="000000"/>
              </w:rPr>
            </w:pPr>
            <w:r>
              <w:rPr>
                <w:i/>
                <w:iCs/>
                <w:color w:val="000000"/>
              </w:rPr>
              <w:t>MD, AP, KMD,  MB, OJF, org. ndërkombëtare</w:t>
            </w:r>
          </w:p>
        </w:tc>
        <w:tc>
          <w:tcPr>
            <w:tcW w:w="1765" w:type="dxa"/>
          </w:tcPr>
          <w:p w:rsidR="00A32DC0" w:rsidRDefault="00A32DC0" w:rsidP="00A32DC0">
            <w:pPr>
              <w:jc w:val="center"/>
              <w:rPr>
                <w:i/>
                <w:iCs/>
                <w:color w:val="000000"/>
              </w:rPr>
            </w:pPr>
            <w:r>
              <w:rPr>
                <w:i/>
                <w:iCs/>
                <w:color w:val="000000"/>
              </w:rPr>
              <w:t>6M-I- 2022</w:t>
            </w:r>
            <w:r>
              <w:rPr>
                <w:i/>
                <w:iCs/>
                <w:color w:val="000000"/>
              </w:rPr>
              <w:br/>
              <w:t xml:space="preserve">– </w:t>
            </w:r>
            <w:r>
              <w:rPr>
                <w:i/>
                <w:iCs/>
                <w:color w:val="000000"/>
              </w:rPr>
              <w:br/>
              <w:t>6M-II- 2023</w:t>
            </w:r>
          </w:p>
        </w:tc>
      </w:tr>
      <w:tr w:rsidR="00A32DC0" w:rsidRPr="00265B92" w:rsidTr="00BA6EFB">
        <w:tc>
          <w:tcPr>
            <w:tcW w:w="7308" w:type="dxa"/>
            <w:gridSpan w:val="5"/>
            <w:shd w:val="clear" w:color="auto" w:fill="auto"/>
          </w:tcPr>
          <w:p w:rsidR="00A32DC0" w:rsidRDefault="00A32DC0" w:rsidP="00A32DC0">
            <w:pPr>
              <w:tabs>
                <w:tab w:val="left" w:pos="1403"/>
              </w:tabs>
              <w:jc w:val="both"/>
              <w:rPr>
                <w:i/>
                <w:iCs/>
                <w:color w:val="000000"/>
              </w:rPr>
            </w:pPr>
            <w:r>
              <w:rPr>
                <w:i/>
                <w:iCs/>
                <w:color w:val="000000"/>
              </w:rPr>
              <w:t>II.1.3.d. Miratimi i projekt ligjit</w:t>
            </w:r>
          </w:p>
        </w:tc>
        <w:tc>
          <w:tcPr>
            <w:tcW w:w="2067" w:type="dxa"/>
          </w:tcPr>
          <w:p w:rsidR="00A32DC0" w:rsidRDefault="00A32DC0" w:rsidP="00A32DC0">
            <w:pPr>
              <w:jc w:val="center"/>
              <w:rPr>
                <w:i/>
                <w:iCs/>
                <w:color w:val="000000"/>
              </w:rPr>
            </w:pPr>
            <w:r>
              <w:rPr>
                <w:i/>
                <w:iCs/>
                <w:color w:val="000000"/>
              </w:rPr>
              <w:t>Ligji i miratuar</w:t>
            </w:r>
          </w:p>
        </w:tc>
        <w:tc>
          <w:tcPr>
            <w:tcW w:w="2067" w:type="dxa"/>
            <w:gridSpan w:val="2"/>
            <w:shd w:val="clear" w:color="auto" w:fill="auto"/>
          </w:tcPr>
          <w:p w:rsidR="00A32DC0" w:rsidRDefault="00A32DC0" w:rsidP="00A32DC0">
            <w:pPr>
              <w:jc w:val="center"/>
              <w:rPr>
                <w:i/>
                <w:iCs/>
                <w:color w:val="000000"/>
              </w:rPr>
            </w:pPr>
            <w:r>
              <w:rPr>
                <w:i/>
                <w:iCs/>
                <w:color w:val="000000"/>
              </w:rPr>
              <w:t>Kuvendi</w:t>
            </w:r>
          </w:p>
        </w:tc>
        <w:tc>
          <w:tcPr>
            <w:tcW w:w="2520" w:type="dxa"/>
            <w:gridSpan w:val="2"/>
          </w:tcPr>
          <w:p w:rsidR="00A32DC0" w:rsidRDefault="00A32DC0" w:rsidP="00A32DC0">
            <w:pPr>
              <w:jc w:val="center"/>
              <w:rPr>
                <w:i/>
                <w:iCs/>
                <w:color w:val="000000"/>
              </w:rPr>
            </w:pPr>
            <w:r>
              <w:rPr>
                <w:i/>
                <w:iCs/>
                <w:color w:val="000000"/>
              </w:rPr>
              <w:t xml:space="preserve">MD, AP, KMD, </w:t>
            </w:r>
            <w:r>
              <w:rPr>
                <w:i/>
                <w:iCs/>
                <w:color w:val="000000"/>
              </w:rPr>
              <w:lastRenderedPageBreak/>
              <w:t>MSHMS, MB, OJF, org. ndërkombëtare</w:t>
            </w:r>
          </w:p>
        </w:tc>
        <w:tc>
          <w:tcPr>
            <w:tcW w:w="1765" w:type="dxa"/>
          </w:tcPr>
          <w:p w:rsidR="00A32DC0" w:rsidRDefault="00A32DC0" w:rsidP="00A32DC0">
            <w:pPr>
              <w:jc w:val="center"/>
              <w:rPr>
                <w:i/>
                <w:iCs/>
                <w:color w:val="000000"/>
              </w:rPr>
            </w:pPr>
            <w:r>
              <w:rPr>
                <w:i/>
                <w:iCs/>
                <w:color w:val="000000"/>
              </w:rPr>
              <w:lastRenderedPageBreak/>
              <w:t>6M-I- 2023</w:t>
            </w:r>
            <w:r>
              <w:rPr>
                <w:i/>
                <w:iCs/>
                <w:color w:val="000000"/>
              </w:rPr>
              <w:br/>
            </w:r>
            <w:r>
              <w:rPr>
                <w:i/>
                <w:iCs/>
                <w:color w:val="000000"/>
              </w:rPr>
              <w:lastRenderedPageBreak/>
              <w:t xml:space="preserve">– </w:t>
            </w:r>
            <w:r>
              <w:rPr>
                <w:i/>
                <w:iCs/>
                <w:color w:val="000000"/>
              </w:rPr>
              <w:br/>
              <w:t>6M-II- 2023</w:t>
            </w:r>
          </w:p>
        </w:tc>
      </w:tr>
      <w:tr w:rsidR="00A32DC0" w:rsidRPr="00265B92" w:rsidTr="003156AA">
        <w:tc>
          <w:tcPr>
            <w:tcW w:w="9375" w:type="dxa"/>
            <w:gridSpan w:val="6"/>
            <w:shd w:val="clear" w:color="auto" w:fill="auto"/>
          </w:tcPr>
          <w:p w:rsidR="00A32DC0" w:rsidRDefault="00A32DC0" w:rsidP="00BE000A">
            <w:pPr>
              <w:rPr>
                <w:i/>
                <w:iCs/>
                <w:color w:val="000000"/>
              </w:rPr>
            </w:pPr>
            <w:r>
              <w:rPr>
                <w:b/>
                <w:bCs/>
                <w:color w:val="000000"/>
              </w:rPr>
              <w:lastRenderedPageBreak/>
              <w:t>II.1.4. Përmirësimi i legjilsacionit në fushën e punësimit dhe përfshirja në të qartësisht e personave LGBTI+ si një grup që i përfiton të gjitha shërbimet e ofruara në fushën e punësimit dhe formimit profesional</w:t>
            </w:r>
          </w:p>
        </w:tc>
        <w:tc>
          <w:tcPr>
            <w:tcW w:w="2067" w:type="dxa"/>
            <w:gridSpan w:val="2"/>
            <w:shd w:val="clear" w:color="auto" w:fill="auto"/>
          </w:tcPr>
          <w:p w:rsidR="00A32DC0" w:rsidRDefault="00A32DC0" w:rsidP="00A32DC0">
            <w:pPr>
              <w:jc w:val="center"/>
              <w:rPr>
                <w:i/>
                <w:iCs/>
                <w:color w:val="000000"/>
              </w:rPr>
            </w:pPr>
            <w:r>
              <w:rPr>
                <w:b/>
                <w:bCs/>
                <w:color w:val="000000"/>
              </w:rPr>
              <w:t>MFE</w:t>
            </w:r>
          </w:p>
        </w:tc>
        <w:tc>
          <w:tcPr>
            <w:tcW w:w="2520" w:type="dxa"/>
            <w:gridSpan w:val="2"/>
          </w:tcPr>
          <w:p w:rsidR="00A32DC0" w:rsidRDefault="00A32DC0" w:rsidP="00A32DC0">
            <w:pPr>
              <w:jc w:val="center"/>
              <w:rPr>
                <w:i/>
                <w:iCs/>
                <w:color w:val="000000"/>
              </w:rPr>
            </w:pPr>
            <w:r>
              <w:rPr>
                <w:b/>
                <w:bCs/>
                <w:color w:val="000000"/>
              </w:rPr>
              <w:t>MD, AP, KMD, MSHMS, MB, OJF, org. ndërkombëtare</w:t>
            </w:r>
          </w:p>
        </w:tc>
        <w:tc>
          <w:tcPr>
            <w:tcW w:w="1765" w:type="dxa"/>
          </w:tcPr>
          <w:p w:rsidR="00A32DC0" w:rsidRDefault="00A32DC0" w:rsidP="00A32DC0">
            <w:pPr>
              <w:jc w:val="center"/>
              <w:rPr>
                <w:i/>
                <w:iCs/>
                <w:color w:val="000000"/>
              </w:rPr>
            </w:pPr>
            <w:r>
              <w:rPr>
                <w:b/>
                <w:bCs/>
                <w:color w:val="000000"/>
              </w:rPr>
              <w:t>6M-I- 2022</w:t>
            </w:r>
            <w:r>
              <w:rPr>
                <w:b/>
                <w:bCs/>
                <w:color w:val="000000"/>
              </w:rPr>
              <w:br/>
              <w:t xml:space="preserve">– </w:t>
            </w:r>
            <w:r>
              <w:rPr>
                <w:b/>
                <w:bCs/>
                <w:color w:val="000000"/>
              </w:rPr>
              <w:br/>
              <w:t>6M-II- 2023</w:t>
            </w:r>
          </w:p>
        </w:tc>
      </w:tr>
      <w:tr w:rsidR="00A32DC0" w:rsidRPr="00265B92" w:rsidTr="00BA6EFB">
        <w:tc>
          <w:tcPr>
            <w:tcW w:w="7308" w:type="dxa"/>
            <w:gridSpan w:val="5"/>
            <w:shd w:val="clear" w:color="auto" w:fill="auto"/>
          </w:tcPr>
          <w:p w:rsidR="00A32DC0" w:rsidRDefault="00A32DC0" w:rsidP="00A32DC0">
            <w:pPr>
              <w:tabs>
                <w:tab w:val="left" w:pos="1403"/>
              </w:tabs>
              <w:jc w:val="both"/>
              <w:rPr>
                <w:i/>
                <w:iCs/>
                <w:color w:val="000000"/>
              </w:rPr>
            </w:pPr>
            <w:r>
              <w:rPr>
                <w:i/>
                <w:iCs/>
                <w:color w:val="000000"/>
              </w:rPr>
              <w:t>II.1.4.a.  Përgatitja e propozimeve për përmirësimin e Ligjit për Nxitjen e Punësimit.  Miratimi, përditësimi dhe përafrimi i akteve nënligjore dhe rregulloreve te brendshme që mundësojnë fuqizimin ekonomik të personave LGBTI+.</w:t>
            </w:r>
          </w:p>
        </w:tc>
        <w:tc>
          <w:tcPr>
            <w:tcW w:w="2067" w:type="dxa"/>
          </w:tcPr>
          <w:p w:rsidR="00A32DC0" w:rsidRDefault="00A32DC0" w:rsidP="00A32DC0">
            <w:pPr>
              <w:jc w:val="center"/>
              <w:rPr>
                <w:i/>
                <w:iCs/>
                <w:color w:val="000000"/>
              </w:rPr>
            </w:pPr>
            <w:r>
              <w:rPr>
                <w:i/>
                <w:iCs/>
                <w:color w:val="000000"/>
              </w:rPr>
              <w:t>Proejkt ligji i përgatitur</w:t>
            </w:r>
          </w:p>
        </w:tc>
        <w:tc>
          <w:tcPr>
            <w:tcW w:w="2067" w:type="dxa"/>
            <w:gridSpan w:val="2"/>
            <w:shd w:val="clear" w:color="auto" w:fill="auto"/>
          </w:tcPr>
          <w:p w:rsidR="00A32DC0" w:rsidRDefault="00A32DC0" w:rsidP="00A32DC0">
            <w:pPr>
              <w:jc w:val="center"/>
              <w:rPr>
                <w:i/>
                <w:iCs/>
                <w:color w:val="000000"/>
              </w:rPr>
            </w:pPr>
            <w:r>
              <w:rPr>
                <w:i/>
                <w:iCs/>
                <w:color w:val="000000"/>
              </w:rPr>
              <w:t>MFE</w:t>
            </w:r>
          </w:p>
        </w:tc>
        <w:tc>
          <w:tcPr>
            <w:tcW w:w="2520" w:type="dxa"/>
            <w:gridSpan w:val="2"/>
          </w:tcPr>
          <w:p w:rsidR="00A32DC0" w:rsidRDefault="00A32DC0" w:rsidP="00A32DC0">
            <w:pPr>
              <w:jc w:val="center"/>
              <w:rPr>
                <w:i/>
                <w:iCs/>
                <w:color w:val="000000"/>
              </w:rPr>
            </w:pPr>
            <w:r>
              <w:rPr>
                <w:i/>
                <w:iCs/>
                <w:color w:val="000000"/>
              </w:rPr>
              <w:t>MD, AP, KMD, MSHMS, MB, OJF, org. ndërkombëtare</w:t>
            </w:r>
          </w:p>
        </w:tc>
        <w:tc>
          <w:tcPr>
            <w:tcW w:w="1765" w:type="dxa"/>
          </w:tcPr>
          <w:p w:rsidR="00A32DC0" w:rsidRDefault="00A32DC0" w:rsidP="00A32DC0">
            <w:pPr>
              <w:jc w:val="center"/>
              <w:rPr>
                <w:i/>
                <w:iCs/>
                <w:color w:val="000000"/>
              </w:rPr>
            </w:pPr>
            <w:r>
              <w:rPr>
                <w:i/>
                <w:iCs/>
                <w:color w:val="000000"/>
              </w:rPr>
              <w:t>6M-I- 2022</w:t>
            </w:r>
            <w:r>
              <w:rPr>
                <w:i/>
                <w:iCs/>
                <w:color w:val="000000"/>
              </w:rPr>
              <w:br/>
              <w:t xml:space="preserve">– </w:t>
            </w:r>
            <w:r>
              <w:rPr>
                <w:i/>
                <w:iCs/>
                <w:color w:val="000000"/>
              </w:rPr>
              <w:br/>
              <w:t>6M-II- 2022</w:t>
            </w:r>
          </w:p>
        </w:tc>
      </w:tr>
      <w:tr w:rsidR="00A32DC0" w:rsidRPr="00265B92" w:rsidTr="00BA6EFB">
        <w:tc>
          <w:tcPr>
            <w:tcW w:w="7308" w:type="dxa"/>
            <w:gridSpan w:val="5"/>
            <w:shd w:val="clear" w:color="auto" w:fill="auto"/>
          </w:tcPr>
          <w:p w:rsidR="00A32DC0" w:rsidRDefault="00A32DC0" w:rsidP="00A32DC0">
            <w:pPr>
              <w:tabs>
                <w:tab w:val="left" w:pos="1403"/>
              </w:tabs>
              <w:jc w:val="both"/>
              <w:rPr>
                <w:i/>
                <w:iCs/>
                <w:color w:val="000000"/>
              </w:rPr>
            </w:pPr>
            <w:r>
              <w:rPr>
                <w:i/>
                <w:iCs/>
                <w:color w:val="000000"/>
              </w:rPr>
              <w:t>II.1.4.b.Miratimi i projekt ligjit</w:t>
            </w:r>
          </w:p>
        </w:tc>
        <w:tc>
          <w:tcPr>
            <w:tcW w:w="2067" w:type="dxa"/>
          </w:tcPr>
          <w:p w:rsidR="00A32DC0" w:rsidRDefault="00A32DC0" w:rsidP="00A32DC0">
            <w:pPr>
              <w:jc w:val="center"/>
              <w:rPr>
                <w:i/>
                <w:iCs/>
                <w:color w:val="000000"/>
              </w:rPr>
            </w:pPr>
            <w:r>
              <w:rPr>
                <w:i/>
                <w:iCs/>
                <w:color w:val="000000"/>
              </w:rPr>
              <w:t>Ligji i miratuar</w:t>
            </w:r>
          </w:p>
        </w:tc>
        <w:tc>
          <w:tcPr>
            <w:tcW w:w="2067" w:type="dxa"/>
            <w:gridSpan w:val="2"/>
            <w:shd w:val="clear" w:color="auto" w:fill="auto"/>
          </w:tcPr>
          <w:p w:rsidR="00A32DC0" w:rsidRDefault="00A32DC0" w:rsidP="00A32DC0">
            <w:pPr>
              <w:jc w:val="center"/>
              <w:rPr>
                <w:i/>
                <w:iCs/>
                <w:color w:val="000000"/>
              </w:rPr>
            </w:pPr>
            <w:r>
              <w:rPr>
                <w:i/>
                <w:iCs/>
                <w:color w:val="000000"/>
              </w:rPr>
              <w:t>Kuvendi</w:t>
            </w:r>
          </w:p>
        </w:tc>
        <w:tc>
          <w:tcPr>
            <w:tcW w:w="2520" w:type="dxa"/>
            <w:gridSpan w:val="2"/>
          </w:tcPr>
          <w:p w:rsidR="00A32DC0" w:rsidRDefault="00A32DC0" w:rsidP="00A32DC0">
            <w:pPr>
              <w:jc w:val="center"/>
              <w:rPr>
                <w:i/>
                <w:iCs/>
                <w:color w:val="000000"/>
              </w:rPr>
            </w:pPr>
            <w:r>
              <w:rPr>
                <w:i/>
                <w:iCs/>
                <w:color w:val="000000"/>
              </w:rPr>
              <w:t>MD, AP, KMD, MSHMS, MB, OJF, org. ndërkombëtare</w:t>
            </w:r>
          </w:p>
        </w:tc>
        <w:tc>
          <w:tcPr>
            <w:tcW w:w="1765" w:type="dxa"/>
          </w:tcPr>
          <w:p w:rsidR="00A32DC0" w:rsidRDefault="00A32DC0" w:rsidP="00A32DC0">
            <w:pPr>
              <w:jc w:val="center"/>
              <w:rPr>
                <w:i/>
                <w:iCs/>
                <w:color w:val="000000"/>
              </w:rPr>
            </w:pPr>
            <w:r>
              <w:rPr>
                <w:i/>
                <w:iCs/>
                <w:color w:val="000000"/>
              </w:rPr>
              <w:t>6M-I- 2023</w:t>
            </w:r>
            <w:r>
              <w:rPr>
                <w:i/>
                <w:iCs/>
                <w:color w:val="000000"/>
              </w:rPr>
              <w:br/>
              <w:t xml:space="preserve">– </w:t>
            </w:r>
            <w:r>
              <w:rPr>
                <w:i/>
                <w:iCs/>
                <w:color w:val="000000"/>
              </w:rPr>
              <w:br/>
              <w:t>6M-II- 2023</w:t>
            </w:r>
          </w:p>
        </w:tc>
      </w:tr>
      <w:tr w:rsidR="00426E0C" w:rsidRPr="00265B92" w:rsidTr="003156AA">
        <w:tc>
          <w:tcPr>
            <w:tcW w:w="9375" w:type="dxa"/>
            <w:gridSpan w:val="6"/>
            <w:shd w:val="clear" w:color="auto" w:fill="auto"/>
          </w:tcPr>
          <w:p w:rsidR="00426E0C" w:rsidRDefault="00426E0C" w:rsidP="001A79E3">
            <w:pPr>
              <w:jc w:val="both"/>
              <w:rPr>
                <w:i/>
                <w:iCs/>
                <w:color w:val="000000"/>
              </w:rPr>
            </w:pPr>
            <w:r>
              <w:rPr>
                <w:b/>
                <w:bCs/>
                <w:color w:val="000000"/>
              </w:rPr>
              <w:t>II.1.5. Analiza, përgatitja dhe miratimi i ndryshimeve të tjera ligjoire në përputhje dhe me standardet ( Ligjit për Azi</w:t>
            </w:r>
            <w:r w:rsidR="001A79E3">
              <w:rPr>
                <w:b/>
                <w:bCs/>
                <w:color w:val="000000"/>
              </w:rPr>
              <w:t>lin, Ligjit për Gjendjen Civile</w:t>
            </w:r>
            <w:r>
              <w:rPr>
                <w:b/>
                <w:bCs/>
                <w:color w:val="000000"/>
              </w:rPr>
              <w:t>), etj</w:t>
            </w:r>
          </w:p>
        </w:tc>
        <w:tc>
          <w:tcPr>
            <w:tcW w:w="2067" w:type="dxa"/>
            <w:gridSpan w:val="2"/>
            <w:shd w:val="clear" w:color="auto" w:fill="auto"/>
          </w:tcPr>
          <w:p w:rsidR="00426E0C" w:rsidRDefault="00426E0C" w:rsidP="00426E0C">
            <w:pPr>
              <w:jc w:val="center"/>
              <w:rPr>
                <w:i/>
                <w:iCs/>
                <w:color w:val="000000"/>
              </w:rPr>
            </w:pPr>
            <w:r>
              <w:rPr>
                <w:b/>
                <w:bCs/>
                <w:color w:val="000000"/>
              </w:rPr>
              <w:t>MB</w:t>
            </w:r>
          </w:p>
        </w:tc>
        <w:tc>
          <w:tcPr>
            <w:tcW w:w="2520" w:type="dxa"/>
            <w:gridSpan w:val="2"/>
          </w:tcPr>
          <w:p w:rsidR="00426E0C" w:rsidRDefault="00426E0C" w:rsidP="00426E0C">
            <w:pPr>
              <w:jc w:val="center"/>
              <w:rPr>
                <w:i/>
                <w:iCs/>
                <w:color w:val="000000"/>
              </w:rPr>
            </w:pPr>
            <w:r>
              <w:rPr>
                <w:b/>
                <w:bCs/>
                <w:color w:val="000000"/>
              </w:rPr>
              <w:t>MD, AP, KMD, MSHMS, MB, OJF, org. ndërkombëtare</w:t>
            </w:r>
          </w:p>
        </w:tc>
        <w:tc>
          <w:tcPr>
            <w:tcW w:w="1765" w:type="dxa"/>
          </w:tcPr>
          <w:p w:rsidR="00426E0C" w:rsidRDefault="00426E0C" w:rsidP="00426E0C">
            <w:pPr>
              <w:jc w:val="center"/>
              <w:rPr>
                <w:i/>
                <w:iCs/>
                <w:color w:val="000000"/>
              </w:rPr>
            </w:pPr>
            <w:r>
              <w:rPr>
                <w:b/>
                <w:bCs/>
                <w:color w:val="000000"/>
              </w:rPr>
              <w:t>6M-I- 2023</w:t>
            </w:r>
            <w:r>
              <w:rPr>
                <w:b/>
                <w:bCs/>
                <w:color w:val="000000"/>
              </w:rPr>
              <w:br/>
              <w:t xml:space="preserve">– </w:t>
            </w:r>
            <w:r>
              <w:rPr>
                <w:b/>
                <w:bCs/>
                <w:color w:val="000000"/>
              </w:rPr>
              <w:br/>
              <w:t>6M-II- 2025</w:t>
            </w:r>
          </w:p>
        </w:tc>
      </w:tr>
      <w:tr w:rsidR="00426E0C" w:rsidRPr="00265B92" w:rsidTr="00BA6EFB">
        <w:tc>
          <w:tcPr>
            <w:tcW w:w="7308" w:type="dxa"/>
            <w:gridSpan w:val="5"/>
            <w:shd w:val="clear" w:color="auto" w:fill="auto"/>
          </w:tcPr>
          <w:p w:rsidR="00426E0C" w:rsidRDefault="00426E0C" w:rsidP="00426E0C">
            <w:pPr>
              <w:tabs>
                <w:tab w:val="left" w:pos="1403"/>
              </w:tabs>
              <w:jc w:val="both"/>
              <w:rPr>
                <w:i/>
                <w:iCs/>
                <w:color w:val="000000"/>
              </w:rPr>
            </w:pPr>
            <w:r>
              <w:rPr>
                <w:i/>
                <w:iCs/>
                <w:color w:val="000000"/>
              </w:rPr>
              <w:t>II.1.5.a.Përgatitja e propozimeve për ndryshimet në ligjin për Azilin,</w:t>
            </w:r>
            <w:r w:rsidR="001A79E3">
              <w:rPr>
                <w:i/>
                <w:iCs/>
                <w:color w:val="000000"/>
              </w:rPr>
              <w:t xml:space="preserve"> </w:t>
            </w:r>
            <w:r>
              <w:rPr>
                <w:i/>
                <w:iCs/>
                <w:color w:val="000000"/>
              </w:rPr>
              <w:t>si dhe Ligjin për Gjendjen Civile</w:t>
            </w:r>
          </w:p>
        </w:tc>
        <w:tc>
          <w:tcPr>
            <w:tcW w:w="2067" w:type="dxa"/>
          </w:tcPr>
          <w:p w:rsidR="00426E0C" w:rsidRDefault="00426E0C" w:rsidP="00426E0C">
            <w:pPr>
              <w:jc w:val="center"/>
              <w:rPr>
                <w:i/>
                <w:iCs/>
                <w:color w:val="000000"/>
              </w:rPr>
            </w:pPr>
            <w:r>
              <w:rPr>
                <w:i/>
                <w:iCs/>
                <w:color w:val="000000"/>
              </w:rPr>
              <w:t>Projekt ligjet e përgatitura</w:t>
            </w:r>
          </w:p>
        </w:tc>
        <w:tc>
          <w:tcPr>
            <w:tcW w:w="2067" w:type="dxa"/>
            <w:gridSpan w:val="2"/>
            <w:shd w:val="clear" w:color="auto" w:fill="auto"/>
          </w:tcPr>
          <w:p w:rsidR="00426E0C" w:rsidRDefault="00426E0C" w:rsidP="00426E0C">
            <w:pPr>
              <w:jc w:val="center"/>
              <w:rPr>
                <w:i/>
                <w:iCs/>
                <w:color w:val="000000"/>
              </w:rPr>
            </w:pPr>
            <w:r>
              <w:rPr>
                <w:i/>
                <w:iCs/>
                <w:color w:val="000000"/>
              </w:rPr>
              <w:t>MB</w:t>
            </w:r>
          </w:p>
        </w:tc>
        <w:tc>
          <w:tcPr>
            <w:tcW w:w="2520" w:type="dxa"/>
            <w:gridSpan w:val="2"/>
          </w:tcPr>
          <w:p w:rsidR="00426E0C" w:rsidRDefault="00426E0C" w:rsidP="00426E0C">
            <w:pPr>
              <w:jc w:val="center"/>
              <w:rPr>
                <w:i/>
                <w:iCs/>
                <w:color w:val="000000"/>
              </w:rPr>
            </w:pPr>
            <w:r>
              <w:rPr>
                <w:i/>
                <w:iCs/>
                <w:color w:val="000000"/>
              </w:rPr>
              <w:t>MD, AP, KMD, MSHMS, MB, OJF, org. ndërkombëtare</w:t>
            </w:r>
          </w:p>
        </w:tc>
        <w:tc>
          <w:tcPr>
            <w:tcW w:w="1765" w:type="dxa"/>
          </w:tcPr>
          <w:p w:rsidR="00426E0C" w:rsidRDefault="00426E0C" w:rsidP="00426E0C">
            <w:pPr>
              <w:jc w:val="center"/>
              <w:rPr>
                <w:i/>
                <w:iCs/>
                <w:color w:val="000000"/>
              </w:rPr>
            </w:pPr>
            <w:r>
              <w:rPr>
                <w:i/>
                <w:iCs/>
                <w:color w:val="000000"/>
              </w:rPr>
              <w:t>6M-I- 2023</w:t>
            </w:r>
            <w:r>
              <w:rPr>
                <w:i/>
                <w:iCs/>
                <w:color w:val="000000"/>
              </w:rPr>
              <w:br/>
              <w:t xml:space="preserve">– </w:t>
            </w:r>
            <w:r>
              <w:rPr>
                <w:i/>
                <w:iCs/>
                <w:color w:val="000000"/>
              </w:rPr>
              <w:br/>
              <w:t>6M-II- 2024</w:t>
            </w:r>
          </w:p>
        </w:tc>
      </w:tr>
      <w:tr w:rsidR="00426E0C" w:rsidRPr="00265B92" w:rsidTr="00BE000A">
        <w:tc>
          <w:tcPr>
            <w:tcW w:w="7308" w:type="dxa"/>
            <w:gridSpan w:val="5"/>
            <w:shd w:val="clear" w:color="auto" w:fill="auto"/>
          </w:tcPr>
          <w:p w:rsidR="00426E0C" w:rsidRDefault="00426E0C" w:rsidP="00426E0C">
            <w:pPr>
              <w:tabs>
                <w:tab w:val="left" w:pos="1403"/>
              </w:tabs>
              <w:jc w:val="both"/>
              <w:rPr>
                <w:i/>
                <w:iCs/>
                <w:color w:val="000000"/>
              </w:rPr>
            </w:pPr>
            <w:r>
              <w:rPr>
                <w:i/>
                <w:iCs/>
                <w:color w:val="000000"/>
              </w:rPr>
              <w:t>II.1.5.b.Miratimi i projekt ligjeve</w:t>
            </w:r>
          </w:p>
        </w:tc>
        <w:tc>
          <w:tcPr>
            <w:tcW w:w="2067" w:type="dxa"/>
          </w:tcPr>
          <w:p w:rsidR="00426E0C" w:rsidRDefault="00426E0C" w:rsidP="00426E0C">
            <w:pPr>
              <w:jc w:val="center"/>
              <w:rPr>
                <w:i/>
                <w:iCs/>
                <w:color w:val="000000"/>
              </w:rPr>
            </w:pPr>
            <w:r>
              <w:rPr>
                <w:i/>
                <w:iCs/>
                <w:color w:val="000000"/>
              </w:rPr>
              <w:t>Ligjet e miratuara</w:t>
            </w:r>
          </w:p>
        </w:tc>
        <w:tc>
          <w:tcPr>
            <w:tcW w:w="2067" w:type="dxa"/>
            <w:gridSpan w:val="2"/>
            <w:shd w:val="clear" w:color="auto" w:fill="auto"/>
          </w:tcPr>
          <w:p w:rsidR="00426E0C" w:rsidRDefault="00426E0C" w:rsidP="00426E0C">
            <w:pPr>
              <w:jc w:val="center"/>
              <w:rPr>
                <w:i/>
                <w:iCs/>
                <w:color w:val="000000"/>
              </w:rPr>
            </w:pPr>
            <w:r>
              <w:rPr>
                <w:i/>
                <w:iCs/>
                <w:color w:val="000000"/>
              </w:rPr>
              <w:t>Kuvendi</w:t>
            </w:r>
          </w:p>
        </w:tc>
        <w:tc>
          <w:tcPr>
            <w:tcW w:w="2520" w:type="dxa"/>
            <w:gridSpan w:val="2"/>
          </w:tcPr>
          <w:p w:rsidR="00426E0C" w:rsidRDefault="00426E0C" w:rsidP="00426E0C">
            <w:pPr>
              <w:jc w:val="center"/>
              <w:rPr>
                <w:i/>
                <w:iCs/>
                <w:color w:val="000000"/>
              </w:rPr>
            </w:pPr>
            <w:r>
              <w:rPr>
                <w:i/>
                <w:iCs/>
                <w:color w:val="000000"/>
              </w:rPr>
              <w:t>MD, AP, KMD, MSHMS, MB, OJF, org. ndërkombëtare</w:t>
            </w:r>
          </w:p>
        </w:tc>
        <w:tc>
          <w:tcPr>
            <w:tcW w:w="1765" w:type="dxa"/>
          </w:tcPr>
          <w:p w:rsidR="00426E0C" w:rsidRDefault="00426E0C" w:rsidP="00426E0C">
            <w:pPr>
              <w:jc w:val="center"/>
              <w:rPr>
                <w:i/>
                <w:iCs/>
                <w:color w:val="000000"/>
              </w:rPr>
            </w:pPr>
            <w:r>
              <w:rPr>
                <w:i/>
                <w:iCs/>
                <w:color w:val="000000"/>
              </w:rPr>
              <w:t>6M-I- 2025</w:t>
            </w:r>
            <w:r>
              <w:rPr>
                <w:i/>
                <w:iCs/>
                <w:color w:val="000000"/>
              </w:rPr>
              <w:br/>
              <w:t xml:space="preserve">– </w:t>
            </w:r>
            <w:r>
              <w:rPr>
                <w:i/>
                <w:iCs/>
                <w:color w:val="000000"/>
              </w:rPr>
              <w:br/>
              <w:t>6M-II- 2025</w:t>
            </w:r>
          </w:p>
        </w:tc>
      </w:tr>
      <w:tr w:rsidR="00A32DC0" w:rsidRPr="00265B92" w:rsidTr="00BA6EFB">
        <w:trPr>
          <w:trHeight w:val="287"/>
        </w:trPr>
        <w:tc>
          <w:tcPr>
            <w:tcW w:w="2610" w:type="dxa"/>
            <w:gridSpan w:val="3"/>
            <w:shd w:val="clear" w:color="auto" w:fill="FBD4B4" w:themeFill="accent6" w:themeFillTint="66"/>
          </w:tcPr>
          <w:p w:rsidR="00A32DC0" w:rsidRPr="0005701D" w:rsidRDefault="00A32DC0" w:rsidP="00A32DC0">
            <w:pPr>
              <w:rPr>
                <w:b/>
                <w:sz w:val="22"/>
                <w:szCs w:val="22"/>
              </w:rPr>
            </w:pPr>
            <w:r w:rsidRPr="0005701D">
              <w:rPr>
                <w:b/>
                <w:sz w:val="22"/>
                <w:szCs w:val="22"/>
              </w:rPr>
              <w:t xml:space="preserve">Objektivi specifik </w:t>
            </w:r>
            <w:r w:rsidR="00687DA5">
              <w:rPr>
                <w:b/>
                <w:sz w:val="22"/>
                <w:szCs w:val="22"/>
              </w:rPr>
              <w:t>II</w:t>
            </w:r>
            <w:r w:rsidRPr="0005701D">
              <w:rPr>
                <w:b/>
                <w:sz w:val="22"/>
                <w:szCs w:val="22"/>
              </w:rPr>
              <w:t>.2:</w:t>
            </w:r>
          </w:p>
        </w:tc>
        <w:tc>
          <w:tcPr>
            <w:tcW w:w="13117" w:type="dxa"/>
            <w:gridSpan w:val="8"/>
            <w:shd w:val="clear" w:color="auto" w:fill="FBD4B4" w:themeFill="accent6" w:themeFillTint="66"/>
          </w:tcPr>
          <w:p w:rsidR="00A32DC0" w:rsidRPr="0005701D" w:rsidRDefault="00687DA5" w:rsidP="00A32DC0">
            <w:pPr>
              <w:jc w:val="both"/>
              <w:rPr>
                <w:b/>
                <w:sz w:val="22"/>
                <w:szCs w:val="22"/>
                <w:highlight w:val="magenta"/>
              </w:rPr>
            </w:pPr>
            <w:r w:rsidRPr="00687DA5">
              <w:rPr>
                <w:b/>
                <w:sz w:val="22"/>
                <w:szCs w:val="22"/>
              </w:rPr>
              <w:t>Zbatimi me profesionalizem dhe pa paragjykime i legjislacionit për të luftuar diskriminimin dhe krimin e urrejtjes ndaj personave LGBTI+.</w:t>
            </w:r>
          </w:p>
        </w:tc>
      </w:tr>
      <w:tr w:rsidR="00A32DC0" w:rsidRPr="00265B92" w:rsidTr="00BA6EFB">
        <w:tc>
          <w:tcPr>
            <w:tcW w:w="2610" w:type="dxa"/>
            <w:gridSpan w:val="3"/>
            <w:shd w:val="clear" w:color="auto" w:fill="FDE9D9" w:themeFill="accent6" w:themeFillTint="33"/>
          </w:tcPr>
          <w:p w:rsidR="00A32DC0" w:rsidRPr="0005701D" w:rsidRDefault="00A32DC0" w:rsidP="00A32DC0">
            <w:pPr>
              <w:rPr>
                <w:b/>
                <w:sz w:val="22"/>
                <w:szCs w:val="22"/>
                <w:u w:val="single"/>
              </w:rPr>
            </w:pPr>
            <w:r w:rsidRPr="0005701D">
              <w:rPr>
                <w:b/>
                <w:sz w:val="22"/>
                <w:szCs w:val="22"/>
                <w:u w:val="single"/>
              </w:rPr>
              <w:t>Rezultati i pritshëm:</w:t>
            </w:r>
          </w:p>
          <w:p w:rsidR="00A32DC0" w:rsidRPr="0005701D" w:rsidRDefault="00A32DC0" w:rsidP="00A32DC0">
            <w:pPr>
              <w:rPr>
                <w:b/>
                <w:sz w:val="22"/>
                <w:szCs w:val="22"/>
                <w:u w:val="single"/>
              </w:rPr>
            </w:pPr>
          </w:p>
        </w:tc>
        <w:tc>
          <w:tcPr>
            <w:tcW w:w="13117" w:type="dxa"/>
            <w:gridSpan w:val="8"/>
            <w:shd w:val="clear" w:color="auto" w:fill="FDE9D9" w:themeFill="accent6" w:themeFillTint="33"/>
          </w:tcPr>
          <w:p w:rsidR="00687DA5" w:rsidRDefault="00687DA5" w:rsidP="00687DA5">
            <w:pPr>
              <w:ind w:left="720" w:hanging="720"/>
              <w:jc w:val="both"/>
              <w:rPr>
                <w:sz w:val="22"/>
                <w:szCs w:val="22"/>
                <w:lang w:val="en-US"/>
              </w:rPr>
            </w:pPr>
            <w:r w:rsidRPr="00687DA5">
              <w:rPr>
                <w:sz w:val="22"/>
                <w:szCs w:val="22"/>
                <w:lang w:val="en-US"/>
              </w:rPr>
              <w:t>i. Profesioniste e profesionistë të drejtësisë dhe policimit më të përgatitur dhe të gatshëm për të mbrojtur të drejtat njerëzore të LGBTI+</w:t>
            </w:r>
          </w:p>
          <w:p w:rsidR="001A79E3" w:rsidRDefault="001A79E3" w:rsidP="00687DA5">
            <w:pPr>
              <w:ind w:left="720" w:hanging="720"/>
              <w:jc w:val="both"/>
              <w:rPr>
                <w:sz w:val="22"/>
                <w:szCs w:val="22"/>
                <w:lang w:val="en-US"/>
              </w:rPr>
            </w:pPr>
          </w:p>
          <w:p w:rsidR="00A32DC0" w:rsidRPr="0005701D" w:rsidRDefault="001A79E3" w:rsidP="00687DA5">
            <w:pPr>
              <w:ind w:left="720" w:hanging="720"/>
              <w:jc w:val="both"/>
              <w:rPr>
                <w:sz w:val="22"/>
                <w:szCs w:val="22"/>
                <w:lang w:val="en-US"/>
              </w:rPr>
            </w:pPr>
            <w:r>
              <w:rPr>
                <w:sz w:val="22"/>
                <w:szCs w:val="22"/>
                <w:lang w:val="en-US"/>
              </w:rPr>
              <w:t>ii. Rritja</w:t>
            </w:r>
            <w:r w:rsidR="00687DA5" w:rsidRPr="00687DA5">
              <w:rPr>
                <w:sz w:val="22"/>
                <w:szCs w:val="22"/>
                <w:lang w:val="en-US"/>
              </w:rPr>
              <w:t xml:space="preserve"> e besimit të personave LGBTI+ në sistemin e drejtësisë dhe të policimit</w:t>
            </w:r>
          </w:p>
        </w:tc>
      </w:tr>
      <w:tr w:rsidR="00A32DC0" w:rsidRPr="00265B92" w:rsidTr="00BA6EFB">
        <w:tc>
          <w:tcPr>
            <w:tcW w:w="2610" w:type="dxa"/>
            <w:gridSpan w:val="3"/>
            <w:shd w:val="clear" w:color="auto" w:fill="FDE9D9" w:themeFill="accent6" w:themeFillTint="33"/>
          </w:tcPr>
          <w:p w:rsidR="00A32DC0" w:rsidRPr="0005701D" w:rsidRDefault="00A32DC0" w:rsidP="00A32DC0">
            <w:pPr>
              <w:rPr>
                <w:b/>
                <w:sz w:val="22"/>
                <w:szCs w:val="22"/>
                <w:u w:val="single"/>
              </w:rPr>
            </w:pPr>
            <w:r w:rsidRPr="0005701D">
              <w:rPr>
                <w:b/>
                <w:sz w:val="22"/>
                <w:szCs w:val="22"/>
                <w:u w:val="single"/>
              </w:rPr>
              <w:t>Treguesi</w:t>
            </w:r>
          </w:p>
        </w:tc>
        <w:tc>
          <w:tcPr>
            <w:tcW w:w="8820" w:type="dxa"/>
            <w:gridSpan w:val="4"/>
            <w:shd w:val="clear" w:color="auto" w:fill="FDE9D9" w:themeFill="accent6" w:themeFillTint="33"/>
          </w:tcPr>
          <w:p w:rsidR="00687DA5" w:rsidRDefault="00687DA5" w:rsidP="00A32DC0">
            <w:pPr>
              <w:jc w:val="both"/>
              <w:rPr>
                <w:sz w:val="22"/>
                <w:szCs w:val="22"/>
              </w:rPr>
            </w:pPr>
          </w:p>
          <w:p w:rsidR="00687DA5" w:rsidRDefault="00687DA5" w:rsidP="00A32DC0">
            <w:pPr>
              <w:jc w:val="both"/>
              <w:rPr>
                <w:sz w:val="22"/>
                <w:szCs w:val="22"/>
              </w:rPr>
            </w:pPr>
            <w:r w:rsidRPr="00687DA5">
              <w:rPr>
                <w:sz w:val="22"/>
                <w:szCs w:val="22"/>
              </w:rPr>
              <w:t xml:space="preserve">II.2.a. Numri i raporteve vjetore të përpiluara dhe dorëzuara në Këshillin e Evropës, mbi diskriminimin dhe krimet e urrejtjes kundër personave LGBTI+  </w:t>
            </w:r>
          </w:p>
          <w:p w:rsidR="00A32DC0" w:rsidRDefault="00A32DC0" w:rsidP="00A32DC0">
            <w:pPr>
              <w:jc w:val="both"/>
              <w:rPr>
                <w:bCs/>
                <w:sz w:val="22"/>
                <w:szCs w:val="22"/>
              </w:rPr>
            </w:pPr>
          </w:p>
          <w:p w:rsidR="00687DA5" w:rsidRPr="0005701D" w:rsidDel="00DA076C" w:rsidRDefault="00687DA5" w:rsidP="00A32DC0">
            <w:pPr>
              <w:jc w:val="both"/>
              <w:rPr>
                <w:sz w:val="22"/>
                <w:szCs w:val="22"/>
              </w:rPr>
            </w:pPr>
            <w:r w:rsidRPr="00687DA5">
              <w:rPr>
                <w:sz w:val="22"/>
                <w:szCs w:val="22"/>
              </w:rPr>
              <w:t>II.2.b. Numri i pikave fokale për LGBTI+ pranë KVSP të trajnuar</w:t>
            </w:r>
          </w:p>
        </w:tc>
        <w:tc>
          <w:tcPr>
            <w:tcW w:w="2520" w:type="dxa"/>
            <w:gridSpan w:val="2"/>
            <w:shd w:val="clear" w:color="auto" w:fill="FDE9D9" w:themeFill="accent6" w:themeFillTint="33"/>
          </w:tcPr>
          <w:p w:rsidR="00A32DC0" w:rsidRPr="0005701D" w:rsidRDefault="00A32DC0" w:rsidP="00A32DC0">
            <w:pPr>
              <w:jc w:val="center"/>
              <w:rPr>
                <w:sz w:val="22"/>
                <w:szCs w:val="22"/>
              </w:rPr>
            </w:pPr>
            <w:r w:rsidRPr="0005701D">
              <w:rPr>
                <w:sz w:val="22"/>
                <w:szCs w:val="22"/>
              </w:rPr>
              <w:t>Baseline:</w:t>
            </w:r>
          </w:p>
          <w:p w:rsidR="00A32DC0" w:rsidRDefault="00687DA5" w:rsidP="00A32DC0">
            <w:pPr>
              <w:jc w:val="center"/>
              <w:rPr>
                <w:bCs/>
                <w:i/>
                <w:iCs/>
                <w:sz w:val="22"/>
                <w:szCs w:val="22"/>
              </w:rPr>
            </w:pPr>
            <w:r>
              <w:rPr>
                <w:bCs/>
                <w:i/>
                <w:iCs/>
                <w:sz w:val="22"/>
                <w:szCs w:val="22"/>
              </w:rPr>
              <w:t>0 (2021)</w:t>
            </w:r>
          </w:p>
          <w:p w:rsidR="00687DA5" w:rsidRDefault="00687DA5" w:rsidP="00A32DC0">
            <w:pPr>
              <w:jc w:val="center"/>
              <w:rPr>
                <w:bCs/>
                <w:i/>
                <w:iCs/>
                <w:sz w:val="22"/>
                <w:szCs w:val="22"/>
              </w:rPr>
            </w:pPr>
          </w:p>
          <w:p w:rsidR="00687DA5" w:rsidRDefault="00687DA5" w:rsidP="00A32DC0">
            <w:pPr>
              <w:jc w:val="center"/>
              <w:rPr>
                <w:bCs/>
                <w:i/>
                <w:iCs/>
                <w:sz w:val="22"/>
                <w:szCs w:val="22"/>
              </w:rPr>
            </w:pPr>
          </w:p>
          <w:p w:rsidR="00687DA5" w:rsidRPr="0005701D" w:rsidRDefault="00687DA5" w:rsidP="00A32DC0">
            <w:pPr>
              <w:jc w:val="center"/>
              <w:rPr>
                <w:bCs/>
                <w:i/>
                <w:iCs/>
                <w:sz w:val="22"/>
                <w:szCs w:val="22"/>
              </w:rPr>
            </w:pPr>
            <w:r>
              <w:rPr>
                <w:bCs/>
                <w:i/>
                <w:iCs/>
                <w:sz w:val="22"/>
                <w:szCs w:val="22"/>
              </w:rPr>
              <w:t>0 (2021)</w:t>
            </w:r>
          </w:p>
        </w:tc>
        <w:tc>
          <w:tcPr>
            <w:tcW w:w="1777" w:type="dxa"/>
            <w:gridSpan w:val="2"/>
            <w:shd w:val="clear" w:color="auto" w:fill="FDE9D9" w:themeFill="accent6" w:themeFillTint="33"/>
          </w:tcPr>
          <w:p w:rsidR="00A32DC0" w:rsidRPr="0005701D" w:rsidRDefault="00A32DC0" w:rsidP="00A32DC0">
            <w:pPr>
              <w:jc w:val="center"/>
              <w:rPr>
                <w:sz w:val="22"/>
                <w:szCs w:val="22"/>
              </w:rPr>
            </w:pPr>
            <w:r w:rsidRPr="0005701D">
              <w:rPr>
                <w:sz w:val="22"/>
                <w:szCs w:val="22"/>
              </w:rPr>
              <w:t>Target</w:t>
            </w:r>
          </w:p>
          <w:p w:rsidR="00A32DC0" w:rsidRDefault="00687DA5" w:rsidP="00A32DC0">
            <w:pPr>
              <w:jc w:val="center"/>
              <w:rPr>
                <w:sz w:val="22"/>
                <w:szCs w:val="22"/>
              </w:rPr>
            </w:pPr>
            <w:r>
              <w:rPr>
                <w:sz w:val="22"/>
                <w:szCs w:val="22"/>
              </w:rPr>
              <w:t>6 (2027)</w:t>
            </w:r>
          </w:p>
          <w:p w:rsidR="00687DA5" w:rsidRDefault="00687DA5" w:rsidP="00A32DC0">
            <w:pPr>
              <w:jc w:val="center"/>
              <w:rPr>
                <w:sz w:val="22"/>
                <w:szCs w:val="22"/>
              </w:rPr>
            </w:pPr>
          </w:p>
          <w:p w:rsidR="00687DA5" w:rsidRDefault="00687DA5" w:rsidP="00A32DC0">
            <w:pPr>
              <w:jc w:val="center"/>
              <w:rPr>
                <w:sz w:val="22"/>
                <w:szCs w:val="22"/>
              </w:rPr>
            </w:pPr>
          </w:p>
          <w:p w:rsidR="00687DA5" w:rsidRPr="0005701D" w:rsidRDefault="00687DA5" w:rsidP="00A32DC0">
            <w:pPr>
              <w:jc w:val="center"/>
              <w:rPr>
                <w:sz w:val="22"/>
                <w:szCs w:val="22"/>
              </w:rPr>
            </w:pPr>
            <w:r>
              <w:rPr>
                <w:sz w:val="22"/>
                <w:szCs w:val="22"/>
              </w:rPr>
              <w:t>61 (2027)</w:t>
            </w:r>
          </w:p>
        </w:tc>
      </w:tr>
      <w:tr w:rsidR="00A32DC0" w:rsidRPr="00265B92" w:rsidTr="00BA6EFB">
        <w:tc>
          <w:tcPr>
            <w:tcW w:w="7308" w:type="dxa"/>
            <w:gridSpan w:val="5"/>
            <w:shd w:val="clear" w:color="auto" w:fill="C2D69B" w:themeFill="accent3" w:themeFillTint="99"/>
          </w:tcPr>
          <w:p w:rsidR="00A32DC0" w:rsidRPr="0005701D" w:rsidRDefault="00A32DC0" w:rsidP="00A32DC0">
            <w:pPr>
              <w:jc w:val="center"/>
              <w:rPr>
                <w:b/>
                <w:sz w:val="22"/>
                <w:szCs w:val="22"/>
              </w:rPr>
            </w:pPr>
            <w:r w:rsidRPr="0005701D">
              <w:rPr>
                <w:b/>
                <w:sz w:val="22"/>
                <w:szCs w:val="22"/>
              </w:rPr>
              <w:t>MASAT DHE AKTIVITETET</w:t>
            </w:r>
          </w:p>
        </w:tc>
        <w:tc>
          <w:tcPr>
            <w:tcW w:w="2067" w:type="dxa"/>
            <w:shd w:val="clear" w:color="auto" w:fill="C2D69B" w:themeFill="accent3" w:themeFillTint="99"/>
          </w:tcPr>
          <w:p w:rsidR="00A32DC0" w:rsidRPr="0005701D" w:rsidRDefault="00A32DC0" w:rsidP="00A32DC0">
            <w:pPr>
              <w:jc w:val="center"/>
              <w:rPr>
                <w:b/>
                <w:sz w:val="22"/>
                <w:szCs w:val="22"/>
              </w:rPr>
            </w:pPr>
            <w:r w:rsidRPr="0005701D">
              <w:rPr>
                <w:b/>
                <w:sz w:val="22"/>
                <w:szCs w:val="22"/>
              </w:rPr>
              <w:t>PRODUKTET</w:t>
            </w:r>
          </w:p>
        </w:tc>
        <w:tc>
          <w:tcPr>
            <w:tcW w:w="2067" w:type="dxa"/>
            <w:gridSpan w:val="2"/>
            <w:shd w:val="clear" w:color="auto" w:fill="C2D69B" w:themeFill="accent3" w:themeFillTint="99"/>
          </w:tcPr>
          <w:p w:rsidR="00A32DC0" w:rsidRPr="0005701D" w:rsidRDefault="00A32DC0" w:rsidP="00A32DC0">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A32DC0" w:rsidRPr="0005701D" w:rsidRDefault="00A32DC0" w:rsidP="00A32DC0">
            <w:pPr>
              <w:jc w:val="center"/>
              <w:rPr>
                <w:b/>
                <w:sz w:val="22"/>
                <w:szCs w:val="22"/>
              </w:rPr>
            </w:pPr>
            <w:r w:rsidRPr="0005701D">
              <w:rPr>
                <w:b/>
                <w:sz w:val="22"/>
                <w:szCs w:val="22"/>
              </w:rPr>
              <w:t>INSTITUCIONET PARTNERE</w:t>
            </w:r>
          </w:p>
        </w:tc>
        <w:tc>
          <w:tcPr>
            <w:tcW w:w="1765" w:type="dxa"/>
            <w:shd w:val="clear" w:color="auto" w:fill="C2D69B" w:themeFill="accent3" w:themeFillTint="99"/>
          </w:tcPr>
          <w:p w:rsidR="00A32DC0" w:rsidRPr="0005701D" w:rsidRDefault="00A32DC0" w:rsidP="00A32DC0">
            <w:pPr>
              <w:jc w:val="center"/>
              <w:rPr>
                <w:b/>
                <w:i/>
                <w:iCs/>
                <w:sz w:val="22"/>
                <w:szCs w:val="22"/>
                <w:highlight w:val="magenta"/>
              </w:rPr>
            </w:pPr>
            <w:r w:rsidRPr="0005701D">
              <w:rPr>
                <w:b/>
                <w:i/>
                <w:iCs/>
                <w:sz w:val="22"/>
                <w:szCs w:val="22"/>
              </w:rPr>
              <w:t>AFATI KOHOR</w:t>
            </w:r>
          </w:p>
        </w:tc>
      </w:tr>
      <w:tr w:rsidR="003156AA" w:rsidRPr="00265B92" w:rsidTr="00BA6EFB">
        <w:tc>
          <w:tcPr>
            <w:tcW w:w="9375" w:type="dxa"/>
            <w:gridSpan w:val="6"/>
            <w:shd w:val="clear" w:color="auto" w:fill="EAF1DD" w:themeFill="accent3" w:themeFillTint="33"/>
          </w:tcPr>
          <w:p w:rsidR="003156AA" w:rsidRPr="0005701D" w:rsidRDefault="003156AA" w:rsidP="003156AA">
            <w:pPr>
              <w:jc w:val="both"/>
              <w:rPr>
                <w:b/>
                <w:bCs/>
                <w:sz w:val="22"/>
                <w:szCs w:val="22"/>
                <w:lang w:val="en-US"/>
              </w:rPr>
            </w:pPr>
            <w:r>
              <w:rPr>
                <w:b/>
                <w:bCs/>
                <w:color w:val="000000"/>
              </w:rPr>
              <w:lastRenderedPageBreak/>
              <w:t>II.2.1. Përgatitja e raportit mbi diskriminimin dhe krimet e urrejtjes kundër personave LGBTI+, në përputhje me standardet ndërkombëtare sipas KE.</w:t>
            </w:r>
          </w:p>
        </w:tc>
        <w:tc>
          <w:tcPr>
            <w:tcW w:w="2067" w:type="dxa"/>
            <w:gridSpan w:val="2"/>
            <w:shd w:val="clear" w:color="auto" w:fill="EAF1DD" w:themeFill="accent3" w:themeFillTint="33"/>
          </w:tcPr>
          <w:p w:rsidR="003156AA" w:rsidRPr="0005701D" w:rsidRDefault="003156AA" w:rsidP="003156AA">
            <w:pPr>
              <w:jc w:val="center"/>
              <w:rPr>
                <w:b/>
                <w:bCs/>
                <w:sz w:val="22"/>
                <w:szCs w:val="22"/>
                <w:lang w:val="en-US"/>
              </w:rPr>
            </w:pPr>
            <w:r>
              <w:rPr>
                <w:b/>
                <w:bCs/>
                <w:color w:val="000000"/>
              </w:rPr>
              <w:t>KMD</w:t>
            </w:r>
          </w:p>
        </w:tc>
        <w:tc>
          <w:tcPr>
            <w:tcW w:w="2520" w:type="dxa"/>
            <w:gridSpan w:val="2"/>
            <w:shd w:val="clear" w:color="auto" w:fill="EAF1DD" w:themeFill="accent3" w:themeFillTint="33"/>
          </w:tcPr>
          <w:p w:rsidR="003156AA" w:rsidRPr="0005701D" w:rsidRDefault="003156AA" w:rsidP="003156AA">
            <w:pPr>
              <w:jc w:val="center"/>
              <w:rPr>
                <w:b/>
                <w:bCs/>
                <w:sz w:val="22"/>
                <w:szCs w:val="22"/>
                <w:lang w:val="en-US"/>
              </w:rPr>
            </w:pPr>
            <w:r>
              <w:rPr>
                <w:b/>
                <w:bCs/>
                <w:color w:val="000000"/>
              </w:rPr>
              <w:t>AP, MD, MB/PSHSH, Prokuroria e Pergjithshme, MSHMS, NJVV, OJF, Org. ndërkombëtare</w:t>
            </w:r>
          </w:p>
        </w:tc>
        <w:tc>
          <w:tcPr>
            <w:tcW w:w="1765" w:type="dxa"/>
            <w:shd w:val="clear" w:color="auto" w:fill="EAF1DD" w:themeFill="accent3" w:themeFillTint="33"/>
          </w:tcPr>
          <w:p w:rsidR="003156AA" w:rsidRPr="0005701D" w:rsidRDefault="003156AA" w:rsidP="003156AA">
            <w:pPr>
              <w:jc w:val="center"/>
              <w:rPr>
                <w:b/>
                <w:bCs/>
                <w:sz w:val="22"/>
                <w:szCs w:val="22"/>
                <w:highlight w:val="magenta"/>
                <w:lang w:val="en-US"/>
              </w:rPr>
            </w:pPr>
            <w:r>
              <w:rPr>
                <w:b/>
                <w:bCs/>
                <w:color w:val="000000"/>
              </w:rPr>
              <w:t>6M-I- 2022</w:t>
            </w:r>
            <w:r>
              <w:rPr>
                <w:b/>
                <w:bCs/>
                <w:color w:val="000000"/>
              </w:rPr>
              <w:br/>
              <w:t xml:space="preserve">– </w:t>
            </w:r>
            <w:r>
              <w:rPr>
                <w:b/>
                <w:bCs/>
                <w:color w:val="000000"/>
              </w:rPr>
              <w:br/>
              <w:t>6M-II- 2027</w:t>
            </w:r>
          </w:p>
        </w:tc>
      </w:tr>
      <w:tr w:rsidR="003156AA" w:rsidRPr="00265B92" w:rsidTr="00BA6EFB">
        <w:tc>
          <w:tcPr>
            <w:tcW w:w="7308" w:type="dxa"/>
            <w:gridSpan w:val="5"/>
            <w:shd w:val="clear" w:color="auto" w:fill="auto"/>
          </w:tcPr>
          <w:p w:rsidR="003156AA" w:rsidRPr="0005701D" w:rsidRDefault="003156AA" w:rsidP="001A79E3">
            <w:pPr>
              <w:jc w:val="both"/>
              <w:rPr>
                <w:i/>
                <w:sz w:val="22"/>
                <w:szCs w:val="22"/>
                <w:lang w:val="en-US"/>
              </w:rPr>
            </w:pPr>
            <w:r>
              <w:rPr>
                <w:i/>
                <w:iCs/>
                <w:color w:val="000000"/>
              </w:rPr>
              <w:t xml:space="preserve">II.2.1.a.  Mbledhja e të dhënave dhe përgatitja e </w:t>
            </w:r>
            <w:r w:rsidR="001A79E3">
              <w:rPr>
                <w:i/>
                <w:iCs/>
                <w:color w:val="000000"/>
              </w:rPr>
              <w:t>raportit mbi diskriminimin dhe k</w:t>
            </w:r>
            <w:r>
              <w:rPr>
                <w:i/>
                <w:iCs/>
                <w:color w:val="000000"/>
              </w:rPr>
              <w:t>rimet e urrejtjes për personat LGBTI+ në Shqipëri</w:t>
            </w:r>
          </w:p>
        </w:tc>
        <w:tc>
          <w:tcPr>
            <w:tcW w:w="2067" w:type="dxa"/>
          </w:tcPr>
          <w:p w:rsidR="003156AA" w:rsidRPr="0005701D" w:rsidRDefault="003156AA" w:rsidP="003156AA">
            <w:pPr>
              <w:jc w:val="center"/>
              <w:rPr>
                <w:bCs/>
                <w:i/>
                <w:sz w:val="22"/>
                <w:szCs w:val="22"/>
                <w:lang w:val="en-US"/>
              </w:rPr>
            </w:pPr>
            <w:r>
              <w:rPr>
                <w:i/>
                <w:iCs/>
                <w:color w:val="000000"/>
              </w:rPr>
              <w:t>Raporti vjetor i përgatitur</w:t>
            </w:r>
          </w:p>
        </w:tc>
        <w:tc>
          <w:tcPr>
            <w:tcW w:w="2067" w:type="dxa"/>
            <w:gridSpan w:val="2"/>
            <w:shd w:val="clear" w:color="auto" w:fill="auto"/>
          </w:tcPr>
          <w:p w:rsidR="003156AA" w:rsidRPr="0005701D" w:rsidRDefault="003156AA" w:rsidP="003156AA">
            <w:pPr>
              <w:jc w:val="center"/>
              <w:rPr>
                <w:i/>
                <w:iCs/>
                <w:sz w:val="22"/>
                <w:szCs w:val="22"/>
              </w:rPr>
            </w:pPr>
            <w:r>
              <w:rPr>
                <w:i/>
                <w:iCs/>
                <w:color w:val="000000"/>
              </w:rPr>
              <w:t>KMD</w:t>
            </w:r>
          </w:p>
        </w:tc>
        <w:tc>
          <w:tcPr>
            <w:tcW w:w="2520" w:type="dxa"/>
            <w:gridSpan w:val="2"/>
          </w:tcPr>
          <w:p w:rsidR="003156AA" w:rsidRPr="0005701D" w:rsidRDefault="003156AA" w:rsidP="003156AA">
            <w:pPr>
              <w:jc w:val="center"/>
              <w:rPr>
                <w:i/>
                <w:sz w:val="22"/>
                <w:szCs w:val="22"/>
                <w:lang w:val="en-US"/>
              </w:rPr>
            </w:pPr>
            <w:r>
              <w:rPr>
                <w:i/>
                <w:iCs/>
                <w:color w:val="000000"/>
              </w:rPr>
              <w:t>AP, MD, MB/PSHSH, Prokuroria e Pergjithshme, MSHMS, NJVV, OJF, Org. ndërkombëtare</w:t>
            </w:r>
          </w:p>
        </w:tc>
        <w:tc>
          <w:tcPr>
            <w:tcW w:w="1765" w:type="dxa"/>
            <w:shd w:val="clear" w:color="auto" w:fill="auto"/>
          </w:tcPr>
          <w:p w:rsidR="003156AA" w:rsidRPr="0005701D" w:rsidRDefault="003156AA" w:rsidP="003156AA">
            <w:pPr>
              <w:jc w:val="center"/>
              <w:rPr>
                <w:b/>
                <w:bCs/>
                <w:i/>
                <w:sz w:val="22"/>
                <w:szCs w:val="22"/>
                <w:lang w:val="en-US"/>
              </w:rPr>
            </w:pPr>
            <w:r>
              <w:rPr>
                <w:color w:val="000000"/>
              </w:rPr>
              <w:t>6M-I- 2022</w:t>
            </w:r>
            <w:r>
              <w:rPr>
                <w:color w:val="000000"/>
              </w:rPr>
              <w:br/>
              <w:t xml:space="preserve">– </w:t>
            </w:r>
            <w:r>
              <w:rPr>
                <w:color w:val="000000"/>
              </w:rPr>
              <w:br/>
              <w:t>6M-II- 2027</w:t>
            </w:r>
          </w:p>
        </w:tc>
      </w:tr>
      <w:tr w:rsidR="003156AA" w:rsidRPr="00265B92" w:rsidTr="00BE000A">
        <w:tc>
          <w:tcPr>
            <w:tcW w:w="7308" w:type="dxa"/>
            <w:gridSpan w:val="5"/>
            <w:shd w:val="clear" w:color="auto" w:fill="auto"/>
          </w:tcPr>
          <w:p w:rsidR="003156AA" w:rsidRPr="0005701D" w:rsidRDefault="003156AA" w:rsidP="001A79E3">
            <w:pPr>
              <w:jc w:val="both"/>
              <w:rPr>
                <w:i/>
                <w:sz w:val="22"/>
                <w:szCs w:val="22"/>
              </w:rPr>
            </w:pPr>
            <w:r>
              <w:rPr>
                <w:i/>
                <w:iCs/>
                <w:color w:val="000000"/>
              </w:rPr>
              <w:t>II.2.1.b. Miratimi i raportit në GKZK dhe dorëzimi në KE</w:t>
            </w:r>
          </w:p>
        </w:tc>
        <w:tc>
          <w:tcPr>
            <w:tcW w:w="2067" w:type="dxa"/>
          </w:tcPr>
          <w:p w:rsidR="003156AA" w:rsidRPr="0005701D" w:rsidRDefault="003156AA" w:rsidP="003156AA">
            <w:pPr>
              <w:jc w:val="center"/>
              <w:rPr>
                <w:bCs/>
                <w:i/>
                <w:sz w:val="22"/>
                <w:szCs w:val="22"/>
                <w:lang w:val="en-US"/>
              </w:rPr>
            </w:pPr>
            <w:r>
              <w:rPr>
                <w:i/>
                <w:iCs/>
                <w:color w:val="000000"/>
              </w:rPr>
              <w:t>Raporti i miratuar dhe i dorëzuar</w:t>
            </w:r>
          </w:p>
        </w:tc>
        <w:tc>
          <w:tcPr>
            <w:tcW w:w="2067" w:type="dxa"/>
            <w:gridSpan w:val="2"/>
            <w:shd w:val="clear" w:color="auto" w:fill="auto"/>
          </w:tcPr>
          <w:p w:rsidR="003156AA" w:rsidRPr="0005701D" w:rsidRDefault="003156AA" w:rsidP="003156AA">
            <w:pPr>
              <w:jc w:val="center"/>
              <w:rPr>
                <w:i/>
                <w:iCs/>
                <w:sz w:val="22"/>
                <w:szCs w:val="22"/>
              </w:rPr>
            </w:pPr>
            <w:r>
              <w:rPr>
                <w:i/>
                <w:iCs/>
                <w:color w:val="000000"/>
              </w:rPr>
              <w:t>KMD</w:t>
            </w:r>
          </w:p>
        </w:tc>
        <w:tc>
          <w:tcPr>
            <w:tcW w:w="2520" w:type="dxa"/>
            <w:gridSpan w:val="2"/>
          </w:tcPr>
          <w:p w:rsidR="003156AA" w:rsidRPr="0005701D" w:rsidRDefault="003156AA" w:rsidP="003156AA">
            <w:pPr>
              <w:jc w:val="center"/>
              <w:rPr>
                <w:i/>
                <w:sz w:val="22"/>
                <w:szCs w:val="22"/>
                <w:lang w:val="en-US"/>
              </w:rPr>
            </w:pPr>
            <w:r>
              <w:rPr>
                <w:i/>
                <w:iCs/>
                <w:color w:val="000000"/>
              </w:rPr>
              <w:t>AP, MD, MB/PSHSH, Prokuroria e Pergjithshme, MSHMS, NJVV, OJF, Org. ndërkombëtare</w:t>
            </w:r>
          </w:p>
        </w:tc>
        <w:tc>
          <w:tcPr>
            <w:tcW w:w="1765" w:type="dxa"/>
            <w:shd w:val="clear" w:color="auto" w:fill="auto"/>
          </w:tcPr>
          <w:p w:rsidR="003156AA" w:rsidRPr="0005701D" w:rsidRDefault="003156AA" w:rsidP="003156AA">
            <w:pPr>
              <w:jc w:val="center"/>
              <w:rPr>
                <w:b/>
                <w:bCs/>
                <w:i/>
                <w:sz w:val="22"/>
                <w:szCs w:val="22"/>
                <w:lang w:val="en-US"/>
              </w:rPr>
            </w:pPr>
            <w:r>
              <w:rPr>
                <w:color w:val="000000"/>
              </w:rPr>
              <w:t>6M-I- 2022</w:t>
            </w:r>
            <w:r>
              <w:rPr>
                <w:color w:val="000000"/>
              </w:rPr>
              <w:br/>
              <w:t xml:space="preserve">– </w:t>
            </w:r>
            <w:r>
              <w:rPr>
                <w:color w:val="000000"/>
              </w:rPr>
              <w:br/>
              <w:t>6M-II- 2027</w:t>
            </w:r>
          </w:p>
        </w:tc>
      </w:tr>
      <w:tr w:rsidR="003156AA" w:rsidRPr="00265B92" w:rsidTr="00BA6EFB">
        <w:tc>
          <w:tcPr>
            <w:tcW w:w="9375" w:type="dxa"/>
            <w:gridSpan w:val="6"/>
            <w:shd w:val="clear" w:color="auto" w:fill="EAF1DD" w:themeFill="accent3" w:themeFillTint="33"/>
          </w:tcPr>
          <w:p w:rsidR="003156AA" w:rsidRPr="0005701D" w:rsidRDefault="003156AA" w:rsidP="003156AA">
            <w:pPr>
              <w:jc w:val="both"/>
              <w:rPr>
                <w:b/>
                <w:sz w:val="22"/>
                <w:szCs w:val="22"/>
              </w:rPr>
            </w:pPr>
            <w:r>
              <w:rPr>
                <w:b/>
                <w:bCs/>
                <w:color w:val="000000"/>
              </w:rPr>
              <w:t>II.2.2 Krijimi i një mjedisi lehtësues për denoncimin e krimeve të urrejtjes dhe diskriminimit kundër personave LGBTI+ në ambjentet e PSHSH</w:t>
            </w:r>
          </w:p>
        </w:tc>
        <w:tc>
          <w:tcPr>
            <w:tcW w:w="2067" w:type="dxa"/>
            <w:gridSpan w:val="2"/>
            <w:shd w:val="clear" w:color="auto" w:fill="EAF1DD" w:themeFill="accent3" w:themeFillTint="33"/>
          </w:tcPr>
          <w:p w:rsidR="003156AA" w:rsidRPr="0005701D" w:rsidRDefault="003156AA" w:rsidP="003156AA">
            <w:pPr>
              <w:jc w:val="center"/>
              <w:rPr>
                <w:b/>
                <w:sz w:val="22"/>
                <w:szCs w:val="22"/>
                <w:lang w:val="en-US"/>
              </w:rPr>
            </w:pPr>
            <w:r>
              <w:rPr>
                <w:b/>
                <w:bCs/>
                <w:color w:val="000000"/>
              </w:rPr>
              <w:t>MB</w:t>
            </w:r>
          </w:p>
        </w:tc>
        <w:tc>
          <w:tcPr>
            <w:tcW w:w="2520" w:type="dxa"/>
            <w:gridSpan w:val="2"/>
            <w:shd w:val="clear" w:color="auto" w:fill="EAF1DD" w:themeFill="accent3" w:themeFillTint="33"/>
          </w:tcPr>
          <w:p w:rsidR="003156AA" w:rsidRPr="0005701D" w:rsidRDefault="003156AA" w:rsidP="003156AA">
            <w:pPr>
              <w:jc w:val="center"/>
              <w:rPr>
                <w:b/>
                <w:bCs/>
                <w:sz w:val="22"/>
                <w:szCs w:val="22"/>
                <w:lang w:val="en-US"/>
              </w:rPr>
            </w:pPr>
            <w:r>
              <w:rPr>
                <w:b/>
                <w:bCs/>
                <w:color w:val="000000"/>
              </w:rPr>
              <w:t>PSHSH, NJVV, org. ndërkombëtare</w:t>
            </w:r>
          </w:p>
        </w:tc>
        <w:tc>
          <w:tcPr>
            <w:tcW w:w="1765" w:type="dxa"/>
            <w:shd w:val="clear" w:color="auto" w:fill="EAF1DD" w:themeFill="accent3" w:themeFillTint="33"/>
          </w:tcPr>
          <w:p w:rsidR="003156AA" w:rsidRPr="0005701D" w:rsidRDefault="003156AA" w:rsidP="003156AA">
            <w:pPr>
              <w:jc w:val="center"/>
              <w:rPr>
                <w:b/>
                <w:bCs/>
                <w:sz w:val="22"/>
                <w:szCs w:val="22"/>
                <w:lang w:val="en-US"/>
              </w:rPr>
            </w:pPr>
            <w:r>
              <w:rPr>
                <w:b/>
                <w:bCs/>
                <w:color w:val="000000"/>
              </w:rPr>
              <w:t>6M-I- 2022</w:t>
            </w:r>
            <w:r>
              <w:rPr>
                <w:b/>
                <w:bCs/>
                <w:color w:val="000000"/>
              </w:rPr>
              <w:br/>
              <w:t xml:space="preserve">– </w:t>
            </w:r>
            <w:r>
              <w:rPr>
                <w:b/>
                <w:bCs/>
                <w:color w:val="000000"/>
              </w:rPr>
              <w:br/>
              <w:t>6M-II- 2027</w:t>
            </w:r>
          </w:p>
        </w:tc>
      </w:tr>
      <w:tr w:rsidR="003156AA" w:rsidRPr="00265B92" w:rsidTr="00BA6EFB">
        <w:tc>
          <w:tcPr>
            <w:tcW w:w="7308" w:type="dxa"/>
            <w:gridSpan w:val="5"/>
            <w:shd w:val="clear" w:color="auto" w:fill="auto"/>
          </w:tcPr>
          <w:p w:rsidR="003156AA" w:rsidRPr="0005701D" w:rsidRDefault="003156AA" w:rsidP="003156AA">
            <w:pPr>
              <w:jc w:val="both"/>
              <w:rPr>
                <w:i/>
                <w:sz w:val="22"/>
                <w:szCs w:val="22"/>
                <w:lang w:val="en-US"/>
              </w:rPr>
            </w:pPr>
            <w:r>
              <w:rPr>
                <w:color w:val="000000"/>
              </w:rPr>
              <w:t>II.2.2.a Caktimi i detyrës së pikës fokale për marrjen dhe rregjistrimin e krimeve të urrejtjes dhe diskriminimit kundër personave LGBTI+, një specialisteje/specialisti në Këshillin Vendor për Sigurinë Publike në nivel bashkie</w:t>
            </w:r>
          </w:p>
        </w:tc>
        <w:tc>
          <w:tcPr>
            <w:tcW w:w="2067" w:type="dxa"/>
          </w:tcPr>
          <w:p w:rsidR="003156AA" w:rsidRPr="0005701D" w:rsidRDefault="003156AA" w:rsidP="003156AA">
            <w:pPr>
              <w:jc w:val="center"/>
              <w:rPr>
                <w:bCs/>
                <w:i/>
                <w:sz w:val="22"/>
                <w:szCs w:val="22"/>
                <w:lang w:val="en-US"/>
              </w:rPr>
            </w:pPr>
            <w:r>
              <w:rPr>
                <w:i/>
                <w:iCs/>
                <w:color w:val="000000"/>
              </w:rPr>
              <w:t>61 persona me detyrën e pikës fokale për LGBTI+ në KVSP</w:t>
            </w:r>
          </w:p>
        </w:tc>
        <w:tc>
          <w:tcPr>
            <w:tcW w:w="2067" w:type="dxa"/>
            <w:gridSpan w:val="2"/>
            <w:shd w:val="clear" w:color="auto" w:fill="auto"/>
          </w:tcPr>
          <w:p w:rsidR="003156AA" w:rsidRPr="0005701D" w:rsidRDefault="003156AA" w:rsidP="003156AA">
            <w:pPr>
              <w:jc w:val="center"/>
              <w:rPr>
                <w:b/>
                <w:i/>
                <w:iCs/>
                <w:sz w:val="22"/>
                <w:szCs w:val="22"/>
              </w:rPr>
            </w:pPr>
            <w:r>
              <w:rPr>
                <w:i/>
                <w:iCs/>
                <w:color w:val="000000"/>
              </w:rPr>
              <w:t>MB</w:t>
            </w:r>
          </w:p>
        </w:tc>
        <w:tc>
          <w:tcPr>
            <w:tcW w:w="2520" w:type="dxa"/>
            <w:gridSpan w:val="2"/>
          </w:tcPr>
          <w:p w:rsidR="003156AA" w:rsidRPr="0005701D" w:rsidRDefault="003156AA" w:rsidP="003156AA">
            <w:pPr>
              <w:jc w:val="center"/>
              <w:rPr>
                <w:i/>
                <w:sz w:val="22"/>
                <w:szCs w:val="22"/>
                <w:lang w:val="en-US"/>
              </w:rPr>
            </w:pPr>
            <w:r>
              <w:rPr>
                <w:i/>
                <w:iCs/>
                <w:color w:val="000000"/>
              </w:rPr>
              <w:t>Policia e Shtetit, Akademia e Sigurisë</w:t>
            </w:r>
          </w:p>
        </w:tc>
        <w:tc>
          <w:tcPr>
            <w:tcW w:w="1765" w:type="dxa"/>
            <w:shd w:val="clear" w:color="auto" w:fill="auto"/>
          </w:tcPr>
          <w:p w:rsidR="003156AA" w:rsidRPr="0005701D" w:rsidRDefault="003156AA" w:rsidP="003156AA">
            <w:pPr>
              <w:jc w:val="center"/>
              <w:rPr>
                <w:b/>
                <w:bCs/>
                <w:i/>
                <w:sz w:val="22"/>
                <w:szCs w:val="22"/>
                <w:lang w:val="en-US"/>
              </w:rPr>
            </w:pPr>
            <w:r>
              <w:rPr>
                <w:i/>
                <w:iCs/>
                <w:color w:val="000000"/>
              </w:rPr>
              <w:t>6M-I- 2022</w:t>
            </w:r>
            <w:r>
              <w:rPr>
                <w:i/>
                <w:iCs/>
                <w:color w:val="000000"/>
              </w:rPr>
              <w:br/>
              <w:t xml:space="preserve">– </w:t>
            </w:r>
            <w:r>
              <w:rPr>
                <w:i/>
                <w:iCs/>
                <w:color w:val="000000"/>
              </w:rPr>
              <w:br/>
              <w:t>6M-II- 2027</w:t>
            </w:r>
          </w:p>
        </w:tc>
      </w:tr>
      <w:tr w:rsidR="003156AA" w:rsidRPr="00265B92" w:rsidTr="00BA6EFB">
        <w:tc>
          <w:tcPr>
            <w:tcW w:w="7308" w:type="dxa"/>
            <w:gridSpan w:val="5"/>
            <w:shd w:val="clear" w:color="auto" w:fill="auto"/>
          </w:tcPr>
          <w:p w:rsidR="003156AA" w:rsidRDefault="003156AA" w:rsidP="003156AA">
            <w:pPr>
              <w:jc w:val="both"/>
              <w:rPr>
                <w:color w:val="000000"/>
              </w:rPr>
            </w:pPr>
            <w:r>
              <w:rPr>
                <w:color w:val="000000"/>
              </w:rPr>
              <w:t>II.2.2.b. Trajnimi i këtyre pikave fokale në regjistrimin dhe trajtimin e raporteve të diskriminimit ndaj personave LGBTI+ dhe krimit të urrejtjes.</w:t>
            </w:r>
          </w:p>
        </w:tc>
        <w:tc>
          <w:tcPr>
            <w:tcW w:w="2067" w:type="dxa"/>
          </w:tcPr>
          <w:p w:rsidR="003156AA" w:rsidRDefault="003156AA" w:rsidP="003156AA">
            <w:pPr>
              <w:jc w:val="center"/>
              <w:rPr>
                <w:i/>
                <w:iCs/>
                <w:color w:val="000000"/>
              </w:rPr>
            </w:pPr>
            <w:r>
              <w:rPr>
                <w:i/>
                <w:iCs/>
                <w:color w:val="000000"/>
              </w:rPr>
              <w:t>61 pikat fokale të trajnuara</w:t>
            </w:r>
          </w:p>
        </w:tc>
        <w:tc>
          <w:tcPr>
            <w:tcW w:w="2067" w:type="dxa"/>
            <w:gridSpan w:val="2"/>
            <w:shd w:val="clear" w:color="auto" w:fill="auto"/>
          </w:tcPr>
          <w:p w:rsidR="003156AA" w:rsidRDefault="003156AA" w:rsidP="003156AA">
            <w:pPr>
              <w:jc w:val="center"/>
              <w:rPr>
                <w:i/>
                <w:iCs/>
                <w:color w:val="000000"/>
              </w:rPr>
            </w:pPr>
            <w:r>
              <w:rPr>
                <w:i/>
                <w:iCs/>
                <w:color w:val="000000"/>
              </w:rPr>
              <w:t>MB</w:t>
            </w:r>
          </w:p>
        </w:tc>
        <w:tc>
          <w:tcPr>
            <w:tcW w:w="2520" w:type="dxa"/>
            <w:gridSpan w:val="2"/>
          </w:tcPr>
          <w:p w:rsidR="003156AA" w:rsidRDefault="003156AA" w:rsidP="003156AA">
            <w:pPr>
              <w:jc w:val="center"/>
              <w:rPr>
                <w:i/>
                <w:iCs/>
                <w:color w:val="000000"/>
              </w:rPr>
            </w:pPr>
            <w:r>
              <w:rPr>
                <w:i/>
                <w:iCs/>
                <w:color w:val="000000"/>
              </w:rPr>
              <w:t>Policia e Shtetit, Akademia e Sigurisë</w:t>
            </w:r>
          </w:p>
        </w:tc>
        <w:tc>
          <w:tcPr>
            <w:tcW w:w="1765" w:type="dxa"/>
            <w:shd w:val="clear" w:color="auto" w:fill="auto"/>
          </w:tcPr>
          <w:p w:rsidR="003156AA" w:rsidRDefault="003156AA" w:rsidP="003156AA">
            <w:pPr>
              <w:jc w:val="center"/>
              <w:rPr>
                <w:i/>
                <w:iCs/>
                <w:color w:val="000000"/>
              </w:rPr>
            </w:pPr>
            <w:r>
              <w:rPr>
                <w:i/>
                <w:iCs/>
                <w:color w:val="000000"/>
              </w:rPr>
              <w:t>6M-I- 2022</w:t>
            </w:r>
            <w:r>
              <w:rPr>
                <w:i/>
                <w:iCs/>
                <w:color w:val="000000"/>
              </w:rPr>
              <w:br/>
              <w:t xml:space="preserve">– </w:t>
            </w:r>
            <w:r>
              <w:rPr>
                <w:i/>
                <w:iCs/>
                <w:color w:val="000000"/>
              </w:rPr>
              <w:br/>
              <w:t>6M-II- 2027</w:t>
            </w:r>
          </w:p>
        </w:tc>
      </w:tr>
      <w:tr w:rsidR="003156AA" w:rsidRPr="00265B92" w:rsidTr="00BA6EFB">
        <w:tc>
          <w:tcPr>
            <w:tcW w:w="9375" w:type="dxa"/>
            <w:gridSpan w:val="6"/>
            <w:shd w:val="clear" w:color="auto" w:fill="EAF1DD" w:themeFill="accent3" w:themeFillTint="33"/>
          </w:tcPr>
          <w:p w:rsidR="003156AA" w:rsidRPr="0005701D" w:rsidRDefault="003156AA" w:rsidP="003156AA">
            <w:pPr>
              <w:jc w:val="both"/>
              <w:rPr>
                <w:b/>
                <w:bCs/>
                <w:sz w:val="22"/>
                <w:szCs w:val="22"/>
                <w:lang w:val="en-US"/>
              </w:rPr>
            </w:pPr>
            <w:r>
              <w:rPr>
                <w:b/>
                <w:bCs/>
                <w:color w:val="000000"/>
              </w:rPr>
              <w:t>II.2.3. Trajnimi i profesionisteve dhe profesionistëve të Zyrave për Ndihmë Juridike Falas, si dhe i OJF-ve dhe Klinikave të Ligjit të licensuara për ofrimin e ndihmës juridike, me qëllim ofrimin e shërbimeve të ndjeshme ndaj personave LGBTI+</w:t>
            </w:r>
          </w:p>
        </w:tc>
        <w:tc>
          <w:tcPr>
            <w:tcW w:w="2067" w:type="dxa"/>
            <w:gridSpan w:val="2"/>
            <w:shd w:val="clear" w:color="auto" w:fill="EAF1DD" w:themeFill="accent3" w:themeFillTint="33"/>
          </w:tcPr>
          <w:p w:rsidR="003156AA" w:rsidRPr="0005701D" w:rsidRDefault="003156AA" w:rsidP="003156AA">
            <w:pPr>
              <w:jc w:val="center"/>
              <w:rPr>
                <w:b/>
                <w:bCs/>
                <w:sz w:val="22"/>
                <w:szCs w:val="22"/>
                <w:lang w:val="en-US"/>
              </w:rPr>
            </w:pPr>
            <w:r>
              <w:rPr>
                <w:b/>
                <w:bCs/>
                <w:color w:val="000000"/>
              </w:rPr>
              <w:t>MD / Drejtoria e Ndihmës JuridikeFalas</w:t>
            </w:r>
          </w:p>
        </w:tc>
        <w:tc>
          <w:tcPr>
            <w:tcW w:w="2520" w:type="dxa"/>
            <w:gridSpan w:val="2"/>
            <w:shd w:val="clear" w:color="auto" w:fill="EAF1DD" w:themeFill="accent3" w:themeFillTint="33"/>
          </w:tcPr>
          <w:p w:rsidR="003156AA" w:rsidRPr="0005701D" w:rsidRDefault="003156AA" w:rsidP="003156AA">
            <w:pPr>
              <w:jc w:val="center"/>
              <w:rPr>
                <w:b/>
                <w:bCs/>
                <w:sz w:val="22"/>
                <w:szCs w:val="22"/>
                <w:lang w:val="en-US"/>
              </w:rPr>
            </w:pPr>
            <w:r>
              <w:rPr>
                <w:b/>
                <w:bCs/>
                <w:color w:val="000000"/>
              </w:rPr>
              <w:t>Dhoma Kombëtare e Avokatisë, KMD, AP, org. ndërkombëtare</w:t>
            </w:r>
          </w:p>
        </w:tc>
        <w:tc>
          <w:tcPr>
            <w:tcW w:w="1765" w:type="dxa"/>
            <w:shd w:val="clear" w:color="auto" w:fill="EAF1DD" w:themeFill="accent3" w:themeFillTint="33"/>
          </w:tcPr>
          <w:p w:rsidR="003156AA" w:rsidRPr="0005701D" w:rsidRDefault="003156AA" w:rsidP="003156AA">
            <w:pPr>
              <w:jc w:val="center"/>
              <w:rPr>
                <w:b/>
                <w:sz w:val="22"/>
                <w:szCs w:val="22"/>
                <w:lang w:val="en-US"/>
              </w:rPr>
            </w:pPr>
            <w:r>
              <w:rPr>
                <w:b/>
                <w:bCs/>
                <w:color w:val="000000"/>
              </w:rPr>
              <w:t>6M-I- 2022</w:t>
            </w:r>
            <w:r>
              <w:rPr>
                <w:b/>
                <w:bCs/>
                <w:color w:val="000000"/>
              </w:rPr>
              <w:br/>
              <w:t xml:space="preserve">– </w:t>
            </w:r>
            <w:r>
              <w:rPr>
                <w:b/>
                <w:bCs/>
                <w:color w:val="000000"/>
              </w:rPr>
              <w:br/>
              <w:t>6M-II- 2027</w:t>
            </w:r>
          </w:p>
        </w:tc>
      </w:tr>
      <w:tr w:rsidR="003156AA" w:rsidRPr="00265B92" w:rsidTr="00BA6EFB">
        <w:tc>
          <w:tcPr>
            <w:tcW w:w="7308" w:type="dxa"/>
            <w:gridSpan w:val="5"/>
            <w:shd w:val="clear" w:color="auto" w:fill="auto"/>
          </w:tcPr>
          <w:p w:rsidR="003156AA" w:rsidRPr="0005701D" w:rsidRDefault="003156AA" w:rsidP="003156AA">
            <w:pPr>
              <w:jc w:val="both"/>
              <w:rPr>
                <w:i/>
                <w:sz w:val="22"/>
                <w:szCs w:val="22"/>
                <w:lang w:val="en-US"/>
              </w:rPr>
            </w:pPr>
            <w:r>
              <w:rPr>
                <w:i/>
                <w:iCs/>
                <w:color w:val="000000"/>
              </w:rPr>
              <w:t>II.2.3.a. Përgatitja e modulit të trajnimit</w:t>
            </w:r>
          </w:p>
        </w:tc>
        <w:tc>
          <w:tcPr>
            <w:tcW w:w="2067" w:type="dxa"/>
          </w:tcPr>
          <w:p w:rsidR="003156AA" w:rsidRPr="0005701D" w:rsidRDefault="003156AA" w:rsidP="003156AA">
            <w:pPr>
              <w:jc w:val="center"/>
              <w:rPr>
                <w:bCs/>
                <w:i/>
                <w:sz w:val="22"/>
                <w:szCs w:val="22"/>
                <w:lang w:val="en-US"/>
              </w:rPr>
            </w:pPr>
            <w:r>
              <w:rPr>
                <w:i/>
                <w:iCs/>
                <w:color w:val="000000"/>
              </w:rPr>
              <w:t>Moduli i përgatitur</w:t>
            </w:r>
          </w:p>
        </w:tc>
        <w:tc>
          <w:tcPr>
            <w:tcW w:w="2067" w:type="dxa"/>
            <w:gridSpan w:val="2"/>
            <w:shd w:val="clear" w:color="auto" w:fill="auto"/>
          </w:tcPr>
          <w:p w:rsidR="003156AA" w:rsidRPr="0005701D" w:rsidRDefault="003156AA" w:rsidP="003156AA">
            <w:pPr>
              <w:jc w:val="center"/>
              <w:rPr>
                <w:i/>
                <w:iCs/>
                <w:sz w:val="22"/>
                <w:szCs w:val="22"/>
              </w:rPr>
            </w:pPr>
            <w:r>
              <w:rPr>
                <w:i/>
                <w:iCs/>
                <w:color w:val="000000"/>
              </w:rPr>
              <w:t>MD / Drejtoria e Ndihmës JuridikeFalas</w:t>
            </w:r>
          </w:p>
        </w:tc>
        <w:tc>
          <w:tcPr>
            <w:tcW w:w="2520" w:type="dxa"/>
            <w:gridSpan w:val="2"/>
          </w:tcPr>
          <w:p w:rsidR="003156AA" w:rsidRPr="0005701D" w:rsidRDefault="003156AA" w:rsidP="003156AA">
            <w:pPr>
              <w:jc w:val="center"/>
              <w:rPr>
                <w:i/>
                <w:sz w:val="22"/>
                <w:szCs w:val="22"/>
                <w:lang w:val="en-US"/>
              </w:rPr>
            </w:pPr>
            <w:r>
              <w:rPr>
                <w:i/>
                <w:iCs/>
                <w:color w:val="000000"/>
              </w:rPr>
              <w:t>Dhoma Kombëtare e Avokatisë, KMD, AP, org. ndërkombëtare</w:t>
            </w:r>
          </w:p>
        </w:tc>
        <w:tc>
          <w:tcPr>
            <w:tcW w:w="1765" w:type="dxa"/>
            <w:shd w:val="clear" w:color="auto" w:fill="auto"/>
          </w:tcPr>
          <w:p w:rsidR="003156AA" w:rsidRPr="0005701D" w:rsidRDefault="003156AA" w:rsidP="003156AA">
            <w:pPr>
              <w:jc w:val="center"/>
              <w:rPr>
                <w:i/>
                <w:sz w:val="22"/>
                <w:szCs w:val="22"/>
                <w:lang w:val="en-US"/>
              </w:rPr>
            </w:pPr>
            <w:r>
              <w:rPr>
                <w:color w:val="000000"/>
              </w:rPr>
              <w:t>6M-I- 2022</w:t>
            </w:r>
            <w:r>
              <w:rPr>
                <w:color w:val="000000"/>
              </w:rPr>
              <w:br/>
              <w:t xml:space="preserve">– </w:t>
            </w:r>
            <w:r>
              <w:rPr>
                <w:color w:val="000000"/>
              </w:rPr>
              <w:br/>
              <w:t>6M-II- 2022</w:t>
            </w:r>
          </w:p>
        </w:tc>
      </w:tr>
      <w:tr w:rsidR="003156AA" w:rsidRPr="00265B92" w:rsidTr="00BA6EFB">
        <w:tc>
          <w:tcPr>
            <w:tcW w:w="7308" w:type="dxa"/>
            <w:gridSpan w:val="5"/>
            <w:shd w:val="clear" w:color="auto" w:fill="auto"/>
          </w:tcPr>
          <w:p w:rsidR="003156AA" w:rsidRPr="0005701D" w:rsidRDefault="003156AA" w:rsidP="003156AA">
            <w:pPr>
              <w:jc w:val="both"/>
              <w:rPr>
                <w:i/>
                <w:sz w:val="22"/>
                <w:szCs w:val="22"/>
                <w:lang w:val="en-US"/>
              </w:rPr>
            </w:pPr>
            <w:r>
              <w:rPr>
                <w:i/>
                <w:iCs/>
                <w:color w:val="000000"/>
              </w:rPr>
              <w:t xml:space="preserve">II.2.3.b. Trajnimi i profesionisteve dhe profesionistëve në fushën e ofrimit </w:t>
            </w:r>
            <w:r>
              <w:rPr>
                <w:i/>
                <w:iCs/>
                <w:color w:val="000000"/>
              </w:rPr>
              <w:lastRenderedPageBreak/>
              <w:t>të ndihmës ligjore, për shërbime të ndjeshme ndaj pesonave LGBTI+</w:t>
            </w:r>
          </w:p>
        </w:tc>
        <w:tc>
          <w:tcPr>
            <w:tcW w:w="2067" w:type="dxa"/>
          </w:tcPr>
          <w:p w:rsidR="003156AA" w:rsidRPr="0005701D" w:rsidRDefault="003156AA" w:rsidP="003156AA">
            <w:pPr>
              <w:jc w:val="center"/>
              <w:rPr>
                <w:bCs/>
                <w:i/>
                <w:sz w:val="22"/>
                <w:szCs w:val="22"/>
                <w:lang w:val="en-US"/>
              </w:rPr>
            </w:pPr>
            <w:r>
              <w:rPr>
                <w:i/>
                <w:iCs/>
                <w:color w:val="000000"/>
              </w:rPr>
              <w:lastRenderedPageBreak/>
              <w:t xml:space="preserve">30 profesioniste e </w:t>
            </w:r>
            <w:r>
              <w:rPr>
                <w:i/>
                <w:iCs/>
                <w:color w:val="000000"/>
              </w:rPr>
              <w:lastRenderedPageBreak/>
              <w:t>profesionistë të trajnuar çdo vit</w:t>
            </w:r>
          </w:p>
        </w:tc>
        <w:tc>
          <w:tcPr>
            <w:tcW w:w="2067" w:type="dxa"/>
            <w:gridSpan w:val="2"/>
            <w:shd w:val="clear" w:color="auto" w:fill="auto"/>
          </w:tcPr>
          <w:p w:rsidR="003156AA" w:rsidRPr="0005701D" w:rsidRDefault="003156AA" w:rsidP="003156AA">
            <w:pPr>
              <w:jc w:val="center"/>
              <w:rPr>
                <w:b/>
                <w:i/>
                <w:iCs/>
                <w:sz w:val="22"/>
                <w:szCs w:val="22"/>
              </w:rPr>
            </w:pPr>
            <w:r>
              <w:rPr>
                <w:i/>
                <w:iCs/>
                <w:color w:val="000000"/>
              </w:rPr>
              <w:lastRenderedPageBreak/>
              <w:t xml:space="preserve">MD / Drejtoria e </w:t>
            </w:r>
            <w:r>
              <w:rPr>
                <w:i/>
                <w:iCs/>
                <w:color w:val="000000"/>
              </w:rPr>
              <w:lastRenderedPageBreak/>
              <w:t>Ndihmës JuridikeFalas</w:t>
            </w:r>
          </w:p>
        </w:tc>
        <w:tc>
          <w:tcPr>
            <w:tcW w:w="2520" w:type="dxa"/>
            <w:gridSpan w:val="2"/>
          </w:tcPr>
          <w:p w:rsidR="003156AA" w:rsidRPr="0005701D" w:rsidRDefault="003156AA" w:rsidP="003156AA">
            <w:pPr>
              <w:jc w:val="center"/>
              <w:rPr>
                <w:b/>
                <w:i/>
                <w:iCs/>
                <w:sz w:val="22"/>
                <w:szCs w:val="22"/>
              </w:rPr>
            </w:pPr>
            <w:r>
              <w:rPr>
                <w:i/>
                <w:iCs/>
                <w:color w:val="000000"/>
              </w:rPr>
              <w:lastRenderedPageBreak/>
              <w:t xml:space="preserve">Dhoma Kombëtare e </w:t>
            </w:r>
            <w:r>
              <w:rPr>
                <w:i/>
                <w:iCs/>
                <w:color w:val="000000"/>
              </w:rPr>
              <w:lastRenderedPageBreak/>
              <w:t>Avokatisë, KMD, AP, org. ndërkombëtare</w:t>
            </w:r>
          </w:p>
        </w:tc>
        <w:tc>
          <w:tcPr>
            <w:tcW w:w="1765" w:type="dxa"/>
            <w:shd w:val="clear" w:color="auto" w:fill="auto"/>
          </w:tcPr>
          <w:p w:rsidR="003156AA" w:rsidRPr="0005701D" w:rsidRDefault="003156AA" w:rsidP="003156AA">
            <w:pPr>
              <w:jc w:val="center"/>
              <w:rPr>
                <w:b/>
                <w:sz w:val="22"/>
                <w:szCs w:val="22"/>
                <w:lang w:val="en-US"/>
              </w:rPr>
            </w:pPr>
            <w:r>
              <w:rPr>
                <w:i/>
                <w:iCs/>
                <w:color w:val="000000"/>
              </w:rPr>
              <w:lastRenderedPageBreak/>
              <w:t>6M-I- 2023</w:t>
            </w:r>
            <w:r>
              <w:rPr>
                <w:i/>
                <w:iCs/>
                <w:color w:val="000000"/>
              </w:rPr>
              <w:br/>
            </w:r>
            <w:r>
              <w:rPr>
                <w:i/>
                <w:iCs/>
                <w:color w:val="000000"/>
              </w:rPr>
              <w:lastRenderedPageBreak/>
              <w:t xml:space="preserve">– </w:t>
            </w:r>
            <w:r>
              <w:rPr>
                <w:i/>
                <w:iCs/>
                <w:color w:val="000000"/>
              </w:rPr>
              <w:br/>
              <w:t>6M-II- 2027</w:t>
            </w:r>
          </w:p>
        </w:tc>
      </w:tr>
      <w:tr w:rsidR="003156AA" w:rsidRPr="00265B92" w:rsidTr="003156AA">
        <w:tc>
          <w:tcPr>
            <w:tcW w:w="9375" w:type="dxa"/>
            <w:gridSpan w:val="6"/>
            <w:shd w:val="clear" w:color="auto" w:fill="auto"/>
          </w:tcPr>
          <w:p w:rsidR="003156AA" w:rsidRDefault="003156AA" w:rsidP="00BE000A">
            <w:pPr>
              <w:jc w:val="both"/>
              <w:rPr>
                <w:i/>
                <w:iCs/>
                <w:color w:val="000000"/>
              </w:rPr>
            </w:pPr>
            <w:r>
              <w:rPr>
                <w:b/>
                <w:bCs/>
                <w:color w:val="000000"/>
              </w:rPr>
              <w:lastRenderedPageBreak/>
              <w:t>II.2.4. Monitorimi dhe vlerësimi i zbatimit të PKV LGBTI+ 2021 - 2027</w:t>
            </w:r>
          </w:p>
        </w:tc>
        <w:tc>
          <w:tcPr>
            <w:tcW w:w="2067" w:type="dxa"/>
            <w:gridSpan w:val="2"/>
            <w:shd w:val="clear" w:color="auto" w:fill="auto"/>
          </w:tcPr>
          <w:p w:rsidR="003156AA" w:rsidRDefault="003156AA" w:rsidP="003156AA">
            <w:pPr>
              <w:jc w:val="center"/>
              <w:rPr>
                <w:i/>
                <w:iCs/>
                <w:color w:val="000000"/>
              </w:rPr>
            </w:pPr>
            <w:r>
              <w:rPr>
                <w:b/>
                <w:bCs/>
                <w:color w:val="000000"/>
              </w:rPr>
              <w:t xml:space="preserve">MSHMS </w:t>
            </w:r>
          </w:p>
        </w:tc>
        <w:tc>
          <w:tcPr>
            <w:tcW w:w="2520" w:type="dxa"/>
            <w:gridSpan w:val="2"/>
          </w:tcPr>
          <w:p w:rsidR="003156AA" w:rsidRDefault="003156AA" w:rsidP="003156AA">
            <w:pPr>
              <w:jc w:val="center"/>
              <w:rPr>
                <w:i/>
                <w:iCs/>
                <w:color w:val="000000"/>
              </w:rPr>
            </w:pPr>
            <w:r>
              <w:rPr>
                <w:b/>
                <w:bCs/>
                <w:color w:val="000000"/>
              </w:rPr>
              <w:t>Të gjitha institucionet përgjegjëse apo mbështetëse në zbatim</w:t>
            </w:r>
          </w:p>
        </w:tc>
        <w:tc>
          <w:tcPr>
            <w:tcW w:w="1765" w:type="dxa"/>
            <w:shd w:val="clear" w:color="auto" w:fill="auto"/>
          </w:tcPr>
          <w:p w:rsidR="003156AA" w:rsidRDefault="003156AA" w:rsidP="003156AA">
            <w:pPr>
              <w:jc w:val="center"/>
              <w:rPr>
                <w:i/>
                <w:iCs/>
                <w:color w:val="000000"/>
              </w:rPr>
            </w:pPr>
            <w:r>
              <w:rPr>
                <w:b/>
                <w:bCs/>
                <w:color w:val="000000"/>
              </w:rPr>
              <w:t>6M-I- 2022</w:t>
            </w:r>
            <w:r>
              <w:rPr>
                <w:b/>
                <w:bCs/>
                <w:color w:val="000000"/>
              </w:rPr>
              <w:br/>
              <w:t xml:space="preserve">– </w:t>
            </w:r>
            <w:r>
              <w:rPr>
                <w:b/>
                <w:bCs/>
                <w:color w:val="000000"/>
              </w:rPr>
              <w:br/>
              <w:t>6M-I- 2027</w:t>
            </w:r>
          </w:p>
        </w:tc>
      </w:tr>
      <w:tr w:rsidR="003156AA" w:rsidRPr="00265B92" w:rsidTr="00BA6EFB">
        <w:tc>
          <w:tcPr>
            <w:tcW w:w="7308" w:type="dxa"/>
            <w:gridSpan w:val="5"/>
            <w:shd w:val="clear" w:color="auto" w:fill="auto"/>
          </w:tcPr>
          <w:p w:rsidR="003156AA" w:rsidRDefault="003156AA" w:rsidP="003156AA">
            <w:pPr>
              <w:jc w:val="both"/>
              <w:rPr>
                <w:i/>
                <w:iCs/>
                <w:color w:val="000000"/>
              </w:rPr>
            </w:pPr>
            <w:r>
              <w:rPr>
                <w:i/>
                <w:iCs/>
                <w:color w:val="000000"/>
              </w:rPr>
              <w:t>III.2.4.a.Përgatitja e raporteve vjetore të monitorimit të zbatimit të PKV LGBTI+ 2021 - 2027</w:t>
            </w:r>
          </w:p>
        </w:tc>
        <w:tc>
          <w:tcPr>
            <w:tcW w:w="2067" w:type="dxa"/>
          </w:tcPr>
          <w:p w:rsidR="003156AA" w:rsidRDefault="003156AA" w:rsidP="003156AA">
            <w:pPr>
              <w:jc w:val="center"/>
              <w:rPr>
                <w:i/>
                <w:iCs/>
                <w:color w:val="000000"/>
              </w:rPr>
            </w:pPr>
            <w:r>
              <w:rPr>
                <w:i/>
                <w:iCs/>
                <w:color w:val="000000"/>
              </w:rPr>
              <w:t>Raporti vjetor i monitorimit i përgatitur</w:t>
            </w:r>
          </w:p>
        </w:tc>
        <w:tc>
          <w:tcPr>
            <w:tcW w:w="2067" w:type="dxa"/>
            <w:gridSpan w:val="2"/>
            <w:shd w:val="clear" w:color="auto" w:fill="auto"/>
          </w:tcPr>
          <w:p w:rsidR="003156AA" w:rsidRDefault="003156AA" w:rsidP="003156AA">
            <w:pPr>
              <w:jc w:val="center"/>
              <w:rPr>
                <w:i/>
                <w:iCs/>
                <w:color w:val="000000"/>
              </w:rPr>
            </w:pPr>
            <w:r>
              <w:rPr>
                <w:i/>
                <w:iCs/>
                <w:color w:val="000000"/>
              </w:rPr>
              <w:t xml:space="preserve">MSHMS </w:t>
            </w:r>
          </w:p>
        </w:tc>
        <w:tc>
          <w:tcPr>
            <w:tcW w:w="2520" w:type="dxa"/>
            <w:gridSpan w:val="2"/>
          </w:tcPr>
          <w:p w:rsidR="003156AA" w:rsidRDefault="003156AA" w:rsidP="003156AA">
            <w:pPr>
              <w:jc w:val="center"/>
              <w:rPr>
                <w:i/>
                <w:iCs/>
                <w:color w:val="000000"/>
              </w:rPr>
            </w:pPr>
            <w:r>
              <w:rPr>
                <w:i/>
                <w:iCs/>
                <w:color w:val="000000"/>
              </w:rPr>
              <w:t>Të gjitha institucionet përgjegjëse apo mbështetëse në zbatim</w:t>
            </w:r>
          </w:p>
        </w:tc>
        <w:tc>
          <w:tcPr>
            <w:tcW w:w="1765" w:type="dxa"/>
            <w:shd w:val="clear" w:color="auto" w:fill="auto"/>
          </w:tcPr>
          <w:p w:rsidR="003156AA" w:rsidRDefault="003156AA" w:rsidP="003156AA">
            <w:pPr>
              <w:jc w:val="center"/>
              <w:rPr>
                <w:i/>
                <w:iCs/>
                <w:color w:val="000000"/>
              </w:rPr>
            </w:pPr>
            <w:r>
              <w:rPr>
                <w:color w:val="000000"/>
              </w:rPr>
              <w:t>6M-I- 2022</w:t>
            </w:r>
            <w:r>
              <w:rPr>
                <w:color w:val="000000"/>
              </w:rPr>
              <w:br/>
              <w:t xml:space="preserve">– </w:t>
            </w:r>
            <w:r>
              <w:rPr>
                <w:color w:val="000000"/>
              </w:rPr>
              <w:br/>
              <w:t>6M-II- 2027</w:t>
            </w:r>
          </w:p>
        </w:tc>
      </w:tr>
      <w:tr w:rsidR="003156AA" w:rsidRPr="00265B92" w:rsidTr="00BE000A">
        <w:tc>
          <w:tcPr>
            <w:tcW w:w="7308" w:type="dxa"/>
            <w:gridSpan w:val="5"/>
            <w:shd w:val="clear" w:color="auto" w:fill="auto"/>
          </w:tcPr>
          <w:p w:rsidR="003156AA" w:rsidRDefault="003156AA" w:rsidP="003156AA">
            <w:pPr>
              <w:jc w:val="both"/>
              <w:rPr>
                <w:i/>
                <w:iCs/>
                <w:color w:val="000000"/>
              </w:rPr>
            </w:pPr>
            <w:r>
              <w:rPr>
                <w:i/>
                <w:iCs/>
                <w:color w:val="000000"/>
              </w:rPr>
              <w:t>III.2.4.b. Përgatitja e raportit të vlerësimit të ndërmjetëm të zbatimit të PKV LGBTI+ 2021 - 2027</w:t>
            </w:r>
          </w:p>
        </w:tc>
        <w:tc>
          <w:tcPr>
            <w:tcW w:w="2067" w:type="dxa"/>
          </w:tcPr>
          <w:p w:rsidR="003156AA" w:rsidRDefault="003156AA" w:rsidP="003156AA">
            <w:pPr>
              <w:jc w:val="center"/>
              <w:rPr>
                <w:i/>
                <w:iCs/>
                <w:color w:val="000000"/>
              </w:rPr>
            </w:pPr>
            <w:r>
              <w:rPr>
                <w:i/>
                <w:iCs/>
                <w:color w:val="000000"/>
              </w:rPr>
              <w:t>Raporti i vlerësimit i përgatitur</w:t>
            </w:r>
          </w:p>
        </w:tc>
        <w:tc>
          <w:tcPr>
            <w:tcW w:w="2067" w:type="dxa"/>
            <w:gridSpan w:val="2"/>
            <w:shd w:val="clear" w:color="auto" w:fill="auto"/>
          </w:tcPr>
          <w:p w:rsidR="003156AA" w:rsidRDefault="003156AA" w:rsidP="003156AA">
            <w:pPr>
              <w:jc w:val="center"/>
              <w:rPr>
                <w:i/>
                <w:iCs/>
                <w:color w:val="000000"/>
              </w:rPr>
            </w:pPr>
            <w:r>
              <w:rPr>
                <w:i/>
                <w:iCs/>
                <w:color w:val="000000"/>
              </w:rPr>
              <w:t xml:space="preserve">MSHMS </w:t>
            </w:r>
          </w:p>
        </w:tc>
        <w:tc>
          <w:tcPr>
            <w:tcW w:w="2520" w:type="dxa"/>
            <w:gridSpan w:val="2"/>
          </w:tcPr>
          <w:p w:rsidR="003156AA" w:rsidRDefault="003156AA" w:rsidP="003156AA">
            <w:pPr>
              <w:jc w:val="center"/>
              <w:rPr>
                <w:i/>
                <w:iCs/>
                <w:color w:val="000000"/>
              </w:rPr>
            </w:pPr>
            <w:r>
              <w:rPr>
                <w:i/>
                <w:iCs/>
                <w:color w:val="000000"/>
              </w:rPr>
              <w:t>Të gjitha institucionet përgjegjëse apo mbështetëse në zbatim</w:t>
            </w:r>
          </w:p>
        </w:tc>
        <w:tc>
          <w:tcPr>
            <w:tcW w:w="1765" w:type="dxa"/>
            <w:shd w:val="clear" w:color="auto" w:fill="auto"/>
          </w:tcPr>
          <w:p w:rsidR="003156AA" w:rsidRDefault="003156AA" w:rsidP="003156AA">
            <w:pPr>
              <w:jc w:val="center"/>
              <w:rPr>
                <w:i/>
                <w:iCs/>
                <w:color w:val="000000"/>
              </w:rPr>
            </w:pPr>
            <w:r>
              <w:rPr>
                <w:color w:val="000000"/>
              </w:rPr>
              <w:t>6M-I- 2025</w:t>
            </w:r>
            <w:r>
              <w:rPr>
                <w:color w:val="000000"/>
              </w:rPr>
              <w:br/>
              <w:t xml:space="preserve">– </w:t>
            </w:r>
            <w:r>
              <w:rPr>
                <w:color w:val="000000"/>
              </w:rPr>
              <w:br/>
              <w:t>6M-I- 2025</w:t>
            </w:r>
          </w:p>
        </w:tc>
      </w:tr>
      <w:tr w:rsidR="0046155F" w:rsidRPr="00265B92" w:rsidTr="00BA6EFB">
        <w:tc>
          <w:tcPr>
            <w:tcW w:w="7308" w:type="dxa"/>
            <w:gridSpan w:val="5"/>
            <w:shd w:val="clear" w:color="auto" w:fill="auto"/>
          </w:tcPr>
          <w:p w:rsidR="0046155F" w:rsidRDefault="0046155F" w:rsidP="0046155F">
            <w:pPr>
              <w:jc w:val="both"/>
              <w:rPr>
                <w:i/>
                <w:iCs/>
                <w:color w:val="000000"/>
              </w:rPr>
            </w:pPr>
            <w:r>
              <w:rPr>
                <w:i/>
                <w:iCs/>
                <w:color w:val="000000"/>
              </w:rPr>
              <w:t>III.2.4.c. Përgatitja e raportit të vlerësimit final ë zbatimit të PKV LGBTI+ 2021 - 2027</w:t>
            </w:r>
          </w:p>
        </w:tc>
        <w:tc>
          <w:tcPr>
            <w:tcW w:w="2067" w:type="dxa"/>
          </w:tcPr>
          <w:p w:rsidR="0046155F" w:rsidRDefault="0046155F" w:rsidP="0046155F">
            <w:pPr>
              <w:jc w:val="center"/>
              <w:rPr>
                <w:i/>
                <w:iCs/>
                <w:color w:val="000000"/>
              </w:rPr>
            </w:pPr>
            <w:r>
              <w:rPr>
                <w:i/>
                <w:iCs/>
                <w:color w:val="000000"/>
              </w:rPr>
              <w:t>Raporti i vlerësimit i përgatitur</w:t>
            </w:r>
          </w:p>
        </w:tc>
        <w:tc>
          <w:tcPr>
            <w:tcW w:w="2067" w:type="dxa"/>
            <w:gridSpan w:val="2"/>
            <w:shd w:val="clear" w:color="auto" w:fill="auto"/>
          </w:tcPr>
          <w:p w:rsidR="0046155F" w:rsidRDefault="0046155F" w:rsidP="0046155F">
            <w:pPr>
              <w:jc w:val="center"/>
              <w:rPr>
                <w:i/>
                <w:iCs/>
                <w:color w:val="000000"/>
              </w:rPr>
            </w:pPr>
            <w:r>
              <w:rPr>
                <w:i/>
                <w:iCs/>
                <w:color w:val="000000"/>
              </w:rPr>
              <w:t xml:space="preserve">MSHMS </w:t>
            </w:r>
          </w:p>
        </w:tc>
        <w:tc>
          <w:tcPr>
            <w:tcW w:w="2520" w:type="dxa"/>
            <w:gridSpan w:val="2"/>
          </w:tcPr>
          <w:p w:rsidR="0046155F" w:rsidRDefault="0046155F" w:rsidP="0046155F">
            <w:pPr>
              <w:jc w:val="center"/>
              <w:rPr>
                <w:i/>
                <w:iCs/>
                <w:color w:val="000000"/>
              </w:rPr>
            </w:pPr>
            <w:r>
              <w:rPr>
                <w:i/>
                <w:iCs/>
                <w:color w:val="000000"/>
              </w:rPr>
              <w:t>Të gjitha institucionet përgjegjëse apo mbështetëse në zbatim</w:t>
            </w:r>
          </w:p>
        </w:tc>
        <w:tc>
          <w:tcPr>
            <w:tcW w:w="1765" w:type="dxa"/>
            <w:shd w:val="clear" w:color="auto" w:fill="auto"/>
          </w:tcPr>
          <w:p w:rsidR="0046155F" w:rsidRDefault="0046155F" w:rsidP="0046155F">
            <w:pPr>
              <w:jc w:val="center"/>
              <w:rPr>
                <w:i/>
                <w:iCs/>
                <w:color w:val="000000"/>
              </w:rPr>
            </w:pPr>
            <w:r>
              <w:rPr>
                <w:color w:val="000000"/>
              </w:rPr>
              <w:t>6M-I- 2027</w:t>
            </w:r>
            <w:r>
              <w:rPr>
                <w:color w:val="000000"/>
              </w:rPr>
              <w:br/>
              <w:t xml:space="preserve">– </w:t>
            </w:r>
            <w:r>
              <w:rPr>
                <w:color w:val="000000"/>
              </w:rPr>
              <w:br/>
              <w:t>6M-I- 2027</w:t>
            </w:r>
          </w:p>
        </w:tc>
      </w:tr>
      <w:tr w:rsidR="00A32DC0" w:rsidRPr="00265B92" w:rsidTr="001A79E3">
        <w:trPr>
          <w:trHeight w:val="602"/>
        </w:trPr>
        <w:tc>
          <w:tcPr>
            <w:tcW w:w="2700" w:type="dxa"/>
            <w:gridSpan w:val="4"/>
            <w:shd w:val="clear" w:color="auto" w:fill="FABF8F" w:themeFill="accent6" w:themeFillTint="99"/>
          </w:tcPr>
          <w:p w:rsidR="00A32DC0" w:rsidRPr="0005701D" w:rsidRDefault="00A32DC0" w:rsidP="00A32DC0">
            <w:pPr>
              <w:jc w:val="both"/>
              <w:rPr>
                <w:b/>
                <w:sz w:val="22"/>
                <w:szCs w:val="22"/>
              </w:rPr>
            </w:pPr>
            <w:r w:rsidRPr="0005701D">
              <w:rPr>
                <w:b/>
                <w:sz w:val="22"/>
                <w:szCs w:val="22"/>
              </w:rPr>
              <w:t xml:space="preserve">Qëllimi Strategjik </w:t>
            </w:r>
            <w:r w:rsidR="00CD6F84">
              <w:rPr>
                <w:b/>
                <w:sz w:val="22"/>
                <w:szCs w:val="22"/>
              </w:rPr>
              <w:t>III</w:t>
            </w:r>
            <w:r w:rsidRPr="0005701D">
              <w:rPr>
                <w:b/>
                <w:sz w:val="22"/>
                <w:szCs w:val="22"/>
              </w:rPr>
              <w:t>:</w:t>
            </w:r>
          </w:p>
        </w:tc>
        <w:tc>
          <w:tcPr>
            <w:tcW w:w="13027" w:type="dxa"/>
            <w:gridSpan w:val="7"/>
            <w:shd w:val="clear" w:color="auto" w:fill="FABF8F" w:themeFill="accent6" w:themeFillTint="99"/>
          </w:tcPr>
          <w:p w:rsidR="00A32DC0" w:rsidRPr="0005701D" w:rsidRDefault="00CD6F84" w:rsidP="00A32DC0">
            <w:pPr>
              <w:jc w:val="both"/>
              <w:rPr>
                <w:b/>
                <w:sz w:val="22"/>
                <w:szCs w:val="22"/>
              </w:rPr>
            </w:pPr>
            <w:r w:rsidRPr="00CD6F84">
              <w:rPr>
                <w:b/>
                <w:sz w:val="22"/>
                <w:szCs w:val="22"/>
              </w:rPr>
              <w:t>Krijimi i një shoqërie gjithëpërfshirëse, pranuese dhe jo-diskriminuese kundrejt personave LGBTI+ në Shqipëri</w:t>
            </w:r>
          </w:p>
        </w:tc>
      </w:tr>
      <w:tr w:rsidR="00A32DC0" w:rsidRPr="00265B92" w:rsidTr="00BA6EFB">
        <w:tc>
          <w:tcPr>
            <w:tcW w:w="2700" w:type="dxa"/>
            <w:gridSpan w:val="4"/>
            <w:shd w:val="clear" w:color="auto" w:fill="FBD4B4" w:themeFill="accent6" w:themeFillTint="66"/>
          </w:tcPr>
          <w:p w:rsidR="00A32DC0" w:rsidRPr="0005701D" w:rsidRDefault="00A32DC0" w:rsidP="00A32DC0">
            <w:pPr>
              <w:rPr>
                <w:b/>
                <w:sz w:val="22"/>
                <w:szCs w:val="22"/>
              </w:rPr>
            </w:pPr>
            <w:r w:rsidRPr="0005701D">
              <w:rPr>
                <w:b/>
                <w:sz w:val="22"/>
                <w:szCs w:val="22"/>
              </w:rPr>
              <w:t xml:space="preserve">Objektivi specifik </w:t>
            </w:r>
            <w:r w:rsidR="00CD6F84">
              <w:rPr>
                <w:b/>
                <w:sz w:val="22"/>
                <w:szCs w:val="22"/>
              </w:rPr>
              <w:t>III</w:t>
            </w:r>
            <w:r w:rsidRPr="0005701D">
              <w:rPr>
                <w:b/>
                <w:sz w:val="22"/>
                <w:szCs w:val="22"/>
              </w:rPr>
              <w:t>.1:</w:t>
            </w:r>
          </w:p>
        </w:tc>
        <w:tc>
          <w:tcPr>
            <w:tcW w:w="13027" w:type="dxa"/>
            <w:gridSpan w:val="7"/>
            <w:shd w:val="clear" w:color="auto" w:fill="FBD4B4" w:themeFill="accent6" w:themeFillTint="66"/>
          </w:tcPr>
          <w:p w:rsidR="00A32DC0" w:rsidRDefault="001875B4" w:rsidP="00A32DC0">
            <w:pPr>
              <w:jc w:val="both"/>
              <w:rPr>
                <w:b/>
                <w:sz w:val="22"/>
                <w:szCs w:val="22"/>
              </w:rPr>
            </w:pPr>
            <w:r w:rsidRPr="001875B4">
              <w:rPr>
                <w:b/>
                <w:sz w:val="22"/>
                <w:szCs w:val="22"/>
              </w:rPr>
              <w:t>Edukimi i shoqërisë me parimet e barazisë, gjithëpërfshirjes dhe mosdiskriminimit kundrejt personave LGBTI+</w:t>
            </w:r>
          </w:p>
          <w:p w:rsidR="001875B4" w:rsidRPr="0005701D" w:rsidRDefault="001875B4" w:rsidP="00A32DC0">
            <w:pPr>
              <w:jc w:val="both"/>
              <w:rPr>
                <w:b/>
                <w:sz w:val="22"/>
                <w:szCs w:val="22"/>
              </w:rPr>
            </w:pPr>
          </w:p>
        </w:tc>
      </w:tr>
      <w:tr w:rsidR="00A32DC0" w:rsidRPr="00265B92" w:rsidTr="00BA6EFB">
        <w:tc>
          <w:tcPr>
            <w:tcW w:w="2700" w:type="dxa"/>
            <w:gridSpan w:val="4"/>
            <w:shd w:val="clear" w:color="auto" w:fill="FDE9D9" w:themeFill="accent6" w:themeFillTint="33"/>
          </w:tcPr>
          <w:p w:rsidR="00A32DC0" w:rsidRPr="0005701D" w:rsidRDefault="00A32DC0" w:rsidP="00A32DC0">
            <w:pPr>
              <w:rPr>
                <w:b/>
                <w:sz w:val="22"/>
                <w:szCs w:val="22"/>
                <w:u w:val="single"/>
                <w:lang w:val="en-US"/>
              </w:rPr>
            </w:pPr>
            <w:r w:rsidRPr="0005701D">
              <w:rPr>
                <w:b/>
                <w:bCs/>
                <w:sz w:val="22"/>
                <w:szCs w:val="22"/>
                <w:u w:val="single"/>
              </w:rPr>
              <w:t xml:space="preserve">Rezultatet e pritshme: </w:t>
            </w:r>
          </w:p>
          <w:p w:rsidR="00A32DC0" w:rsidRPr="0005701D" w:rsidRDefault="00A32DC0" w:rsidP="00A32DC0">
            <w:pPr>
              <w:rPr>
                <w:b/>
                <w:bCs/>
                <w:sz w:val="22"/>
                <w:szCs w:val="22"/>
                <w:u w:val="single"/>
              </w:rPr>
            </w:pPr>
          </w:p>
        </w:tc>
        <w:tc>
          <w:tcPr>
            <w:tcW w:w="13027" w:type="dxa"/>
            <w:gridSpan w:val="7"/>
            <w:shd w:val="clear" w:color="auto" w:fill="FDE9D9" w:themeFill="accent6" w:themeFillTint="33"/>
          </w:tcPr>
          <w:p w:rsidR="00A32DC0" w:rsidRPr="0005701D" w:rsidRDefault="001875B4" w:rsidP="00BE000A">
            <w:r w:rsidRPr="00BE000A">
              <w:rPr>
                <w:bCs/>
                <w:sz w:val="22"/>
                <w:szCs w:val="22"/>
              </w:rPr>
              <w:t>i. Një brez i ri më i hapur, jo paragjykues dhe pranues kundrejt personave LGBTI+ në Shqipëri</w:t>
            </w:r>
          </w:p>
        </w:tc>
      </w:tr>
      <w:tr w:rsidR="00A32DC0" w:rsidRPr="00265B92" w:rsidTr="001A79E3">
        <w:trPr>
          <w:trHeight w:val="764"/>
        </w:trPr>
        <w:tc>
          <w:tcPr>
            <w:tcW w:w="2700" w:type="dxa"/>
            <w:gridSpan w:val="4"/>
            <w:shd w:val="clear" w:color="auto" w:fill="FDE9D9" w:themeFill="accent6" w:themeFillTint="33"/>
          </w:tcPr>
          <w:p w:rsidR="00A32DC0" w:rsidRPr="0005701D" w:rsidRDefault="00A32DC0" w:rsidP="00A32DC0">
            <w:pPr>
              <w:rPr>
                <w:b/>
                <w:bCs/>
                <w:sz w:val="22"/>
                <w:szCs w:val="22"/>
                <w:highlight w:val="magenta"/>
                <w:u w:val="single"/>
              </w:rPr>
            </w:pPr>
            <w:r w:rsidRPr="0005701D">
              <w:rPr>
                <w:b/>
                <w:bCs/>
                <w:sz w:val="22"/>
                <w:szCs w:val="22"/>
                <w:u w:val="single"/>
              </w:rPr>
              <w:t>Treguesit</w:t>
            </w:r>
          </w:p>
        </w:tc>
        <w:tc>
          <w:tcPr>
            <w:tcW w:w="8730" w:type="dxa"/>
            <w:gridSpan w:val="3"/>
            <w:shd w:val="clear" w:color="auto" w:fill="FDE9D9" w:themeFill="accent6" w:themeFillTint="33"/>
          </w:tcPr>
          <w:p w:rsidR="001875B4" w:rsidRDefault="001875B4" w:rsidP="00A32DC0">
            <w:pPr>
              <w:ind w:left="810" w:hanging="810"/>
              <w:jc w:val="both"/>
              <w:rPr>
                <w:sz w:val="22"/>
                <w:szCs w:val="22"/>
              </w:rPr>
            </w:pPr>
          </w:p>
          <w:p w:rsidR="00A32DC0" w:rsidRPr="001A79E3" w:rsidRDefault="001875B4" w:rsidP="001A79E3">
            <w:pPr>
              <w:ind w:left="810" w:hanging="810"/>
              <w:jc w:val="both"/>
              <w:rPr>
                <w:bCs/>
                <w:sz w:val="22"/>
                <w:szCs w:val="22"/>
              </w:rPr>
            </w:pPr>
            <w:r w:rsidRPr="001875B4">
              <w:rPr>
                <w:sz w:val="22"/>
                <w:szCs w:val="22"/>
              </w:rPr>
              <w:t>III.1.a. Numri i të rejave e të rinjve që pranojnë dhe nuk diskriminojnë personat LGBTI+ në Shqipëri</w:t>
            </w:r>
          </w:p>
        </w:tc>
        <w:tc>
          <w:tcPr>
            <w:tcW w:w="2520" w:type="dxa"/>
            <w:gridSpan w:val="2"/>
            <w:shd w:val="clear" w:color="auto" w:fill="FDE9D9" w:themeFill="accent6" w:themeFillTint="33"/>
          </w:tcPr>
          <w:p w:rsidR="00A32DC0" w:rsidRPr="0005701D" w:rsidRDefault="00A32DC0" w:rsidP="001875B4">
            <w:pPr>
              <w:jc w:val="center"/>
              <w:rPr>
                <w:color w:val="000000"/>
                <w:sz w:val="22"/>
                <w:szCs w:val="22"/>
              </w:rPr>
            </w:pPr>
            <w:r w:rsidRPr="0005701D">
              <w:rPr>
                <w:bCs/>
                <w:sz w:val="22"/>
                <w:szCs w:val="22"/>
              </w:rPr>
              <w:t>Baseline:</w:t>
            </w:r>
          </w:p>
          <w:p w:rsidR="00A32DC0" w:rsidRPr="0005701D" w:rsidRDefault="001875B4" w:rsidP="00A32DC0">
            <w:pPr>
              <w:jc w:val="center"/>
              <w:rPr>
                <w:i/>
                <w:iCs/>
                <w:color w:val="000000"/>
                <w:sz w:val="22"/>
                <w:szCs w:val="22"/>
              </w:rPr>
            </w:pPr>
            <w:r w:rsidRPr="001875B4">
              <w:rPr>
                <w:i/>
                <w:iCs/>
                <w:color w:val="000000"/>
                <w:sz w:val="22"/>
                <w:szCs w:val="22"/>
              </w:rPr>
              <w:t xml:space="preserve">    Do përcaktohet në 2022</w:t>
            </w:r>
          </w:p>
        </w:tc>
        <w:tc>
          <w:tcPr>
            <w:tcW w:w="1777" w:type="dxa"/>
            <w:gridSpan w:val="2"/>
            <w:shd w:val="clear" w:color="auto" w:fill="FDE9D9" w:themeFill="accent6" w:themeFillTint="33"/>
          </w:tcPr>
          <w:p w:rsidR="00A32DC0" w:rsidRPr="0005701D" w:rsidRDefault="00A32DC0" w:rsidP="00BE000A">
            <w:pPr>
              <w:jc w:val="center"/>
              <w:rPr>
                <w:bCs/>
                <w:i/>
                <w:iCs/>
                <w:sz w:val="22"/>
                <w:szCs w:val="22"/>
              </w:rPr>
            </w:pPr>
            <w:r w:rsidRPr="0005701D">
              <w:rPr>
                <w:bCs/>
                <w:sz w:val="22"/>
                <w:szCs w:val="22"/>
              </w:rPr>
              <w:t>Target:</w:t>
            </w:r>
          </w:p>
          <w:p w:rsidR="00A32DC0" w:rsidRPr="001A79E3" w:rsidRDefault="001875B4" w:rsidP="001A79E3">
            <w:pPr>
              <w:jc w:val="center"/>
              <w:rPr>
                <w:bCs/>
                <w:i/>
                <w:iCs/>
                <w:sz w:val="22"/>
                <w:szCs w:val="22"/>
              </w:rPr>
            </w:pPr>
            <w:r w:rsidRPr="001875B4">
              <w:rPr>
                <w:bCs/>
                <w:i/>
                <w:iCs/>
                <w:sz w:val="22"/>
                <w:szCs w:val="22"/>
              </w:rPr>
              <w:t>Rritur me 2% cdo vit</w:t>
            </w:r>
            <w:r w:rsidR="001A79E3">
              <w:rPr>
                <w:bCs/>
                <w:i/>
                <w:iCs/>
                <w:sz w:val="22"/>
                <w:szCs w:val="22"/>
              </w:rPr>
              <w:t>.</w:t>
            </w:r>
          </w:p>
        </w:tc>
      </w:tr>
      <w:tr w:rsidR="00A32DC0" w:rsidRPr="00265B92" w:rsidTr="00BA6EFB">
        <w:tc>
          <w:tcPr>
            <w:tcW w:w="7308" w:type="dxa"/>
            <w:gridSpan w:val="5"/>
            <w:shd w:val="clear" w:color="auto" w:fill="C2D69B" w:themeFill="accent3" w:themeFillTint="99"/>
          </w:tcPr>
          <w:p w:rsidR="00A32DC0" w:rsidRPr="0005701D" w:rsidRDefault="00A32DC0" w:rsidP="00A32DC0">
            <w:pPr>
              <w:jc w:val="center"/>
              <w:rPr>
                <w:b/>
                <w:sz w:val="22"/>
                <w:szCs w:val="22"/>
              </w:rPr>
            </w:pPr>
            <w:r w:rsidRPr="0005701D">
              <w:rPr>
                <w:b/>
                <w:sz w:val="22"/>
                <w:szCs w:val="22"/>
              </w:rPr>
              <w:t>MASAT DHE AKTIVITETET</w:t>
            </w:r>
          </w:p>
        </w:tc>
        <w:tc>
          <w:tcPr>
            <w:tcW w:w="2067" w:type="dxa"/>
            <w:shd w:val="clear" w:color="auto" w:fill="C2D69B" w:themeFill="accent3" w:themeFillTint="99"/>
          </w:tcPr>
          <w:p w:rsidR="00A32DC0" w:rsidRPr="0005701D" w:rsidRDefault="00A32DC0" w:rsidP="00A32DC0">
            <w:pPr>
              <w:jc w:val="center"/>
              <w:rPr>
                <w:b/>
                <w:sz w:val="22"/>
                <w:szCs w:val="22"/>
              </w:rPr>
            </w:pPr>
            <w:r w:rsidRPr="0005701D">
              <w:rPr>
                <w:b/>
                <w:sz w:val="22"/>
                <w:szCs w:val="22"/>
              </w:rPr>
              <w:t>PRODUKTET</w:t>
            </w:r>
          </w:p>
        </w:tc>
        <w:tc>
          <w:tcPr>
            <w:tcW w:w="2067" w:type="dxa"/>
            <w:gridSpan w:val="2"/>
            <w:shd w:val="clear" w:color="auto" w:fill="C2D69B" w:themeFill="accent3" w:themeFillTint="99"/>
          </w:tcPr>
          <w:p w:rsidR="00A32DC0" w:rsidRPr="0005701D" w:rsidRDefault="00A32DC0" w:rsidP="00A32DC0">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A32DC0" w:rsidRPr="0005701D" w:rsidRDefault="00A32DC0" w:rsidP="00A32DC0">
            <w:pPr>
              <w:jc w:val="center"/>
              <w:rPr>
                <w:b/>
                <w:sz w:val="22"/>
                <w:szCs w:val="22"/>
              </w:rPr>
            </w:pPr>
            <w:r w:rsidRPr="0005701D">
              <w:rPr>
                <w:b/>
                <w:sz w:val="22"/>
                <w:szCs w:val="22"/>
              </w:rPr>
              <w:t>INSTITUCIONET PARTNERE</w:t>
            </w:r>
          </w:p>
        </w:tc>
        <w:tc>
          <w:tcPr>
            <w:tcW w:w="1765" w:type="dxa"/>
            <w:shd w:val="clear" w:color="auto" w:fill="C2D69B" w:themeFill="accent3" w:themeFillTint="99"/>
          </w:tcPr>
          <w:p w:rsidR="00A32DC0" w:rsidRPr="0005701D" w:rsidRDefault="00A32DC0" w:rsidP="00A32DC0">
            <w:pPr>
              <w:jc w:val="center"/>
              <w:rPr>
                <w:b/>
                <w:sz w:val="22"/>
                <w:szCs w:val="22"/>
              </w:rPr>
            </w:pPr>
            <w:r w:rsidRPr="0005701D">
              <w:rPr>
                <w:b/>
                <w:sz w:val="22"/>
                <w:szCs w:val="22"/>
              </w:rPr>
              <w:t>AFATI KOHOR</w:t>
            </w:r>
          </w:p>
        </w:tc>
      </w:tr>
      <w:tr w:rsidR="000179B8" w:rsidRPr="00265B92" w:rsidTr="00BA6EFB">
        <w:trPr>
          <w:trHeight w:val="620"/>
        </w:trPr>
        <w:tc>
          <w:tcPr>
            <w:tcW w:w="9375" w:type="dxa"/>
            <w:gridSpan w:val="6"/>
            <w:shd w:val="clear" w:color="auto" w:fill="EAF1DD" w:themeFill="accent3" w:themeFillTint="33"/>
          </w:tcPr>
          <w:p w:rsidR="000179B8" w:rsidRPr="0005701D" w:rsidRDefault="000179B8" w:rsidP="000179B8">
            <w:pPr>
              <w:jc w:val="both"/>
              <w:rPr>
                <w:b/>
                <w:bCs/>
                <w:sz w:val="22"/>
                <w:szCs w:val="22"/>
                <w:highlight w:val="magenta"/>
                <w:lang w:val="en-US"/>
              </w:rPr>
            </w:pPr>
            <w:bookmarkStart w:id="52" w:name="_Hlk78901640"/>
            <w:r>
              <w:rPr>
                <w:b/>
                <w:bCs/>
                <w:color w:val="000000"/>
              </w:rPr>
              <w:t xml:space="preserve">III.1.1. Informimi dhe edukimi i vazhdueshëm i shoqërisë me parimet e barazisë, mosdiskriminimit dhe pranimit të personave LGBTI+ në Shqipëri </w:t>
            </w:r>
          </w:p>
        </w:tc>
        <w:tc>
          <w:tcPr>
            <w:tcW w:w="2067" w:type="dxa"/>
            <w:gridSpan w:val="2"/>
            <w:shd w:val="clear" w:color="auto" w:fill="EAF1DD" w:themeFill="accent3" w:themeFillTint="33"/>
          </w:tcPr>
          <w:p w:rsidR="000179B8" w:rsidRPr="0005701D" w:rsidRDefault="000179B8" w:rsidP="000179B8">
            <w:pPr>
              <w:jc w:val="center"/>
              <w:rPr>
                <w:b/>
                <w:bCs/>
                <w:sz w:val="22"/>
                <w:szCs w:val="22"/>
                <w:highlight w:val="magenta"/>
                <w:lang w:val="en-US"/>
              </w:rPr>
            </w:pPr>
            <w:r>
              <w:rPr>
                <w:b/>
                <w:bCs/>
                <w:color w:val="000000"/>
              </w:rPr>
              <w:t>MSHMS</w:t>
            </w:r>
          </w:p>
        </w:tc>
        <w:tc>
          <w:tcPr>
            <w:tcW w:w="2520" w:type="dxa"/>
            <w:gridSpan w:val="2"/>
            <w:shd w:val="clear" w:color="auto" w:fill="EAF1DD" w:themeFill="accent3" w:themeFillTint="33"/>
          </w:tcPr>
          <w:p w:rsidR="000179B8" w:rsidRPr="0005701D" w:rsidRDefault="000179B8" w:rsidP="000179B8">
            <w:pPr>
              <w:jc w:val="center"/>
              <w:rPr>
                <w:b/>
                <w:bCs/>
                <w:sz w:val="22"/>
                <w:szCs w:val="22"/>
                <w:highlight w:val="magenta"/>
                <w:lang w:val="en-US"/>
              </w:rPr>
            </w:pPr>
            <w:r>
              <w:rPr>
                <w:b/>
                <w:bCs/>
                <w:color w:val="000000"/>
              </w:rPr>
              <w:t>KMD, AP, Ministritë e linjës, NJVV, OJF, org. ndërkombëtare, mediat, akademia</w:t>
            </w:r>
          </w:p>
        </w:tc>
        <w:tc>
          <w:tcPr>
            <w:tcW w:w="1765" w:type="dxa"/>
            <w:shd w:val="clear" w:color="auto" w:fill="EAF1DD" w:themeFill="accent3" w:themeFillTint="33"/>
          </w:tcPr>
          <w:p w:rsidR="000179B8" w:rsidRPr="0005701D" w:rsidRDefault="000179B8" w:rsidP="000179B8">
            <w:pPr>
              <w:jc w:val="center"/>
              <w:rPr>
                <w:b/>
                <w:sz w:val="22"/>
                <w:szCs w:val="22"/>
                <w:lang w:val="en-US"/>
              </w:rPr>
            </w:pPr>
            <w:r>
              <w:rPr>
                <w:b/>
                <w:bCs/>
                <w:color w:val="000000"/>
              </w:rPr>
              <w:t>6M-I- 2022</w:t>
            </w:r>
            <w:r>
              <w:rPr>
                <w:b/>
                <w:bCs/>
                <w:color w:val="000000"/>
              </w:rPr>
              <w:br/>
              <w:t xml:space="preserve">– </w:t>
            </w:r>
            <w:r>
              <w:rPr>
                <w:b/>
                <w:bCs/>
                <w:color w:val="000000"/>
              </w:rPr>
              <w:br/>
              <w:t>6M-I- 2027</w:t>
            </w:r>
          </w:p>
        </w:tc>
      </w:tr>
      <w:bookmarkEnd w:id="52"/>
      <w:tr w:rsidR="000179B8" w:rsidRPr="00265B92" w:rsidTr="00BA6EFB">
        <w:tc>
          <w:tcPr>
            <w:tcW w:w="7308" w:type="dxa"/>
            <w:gridSpan w:val="5"/>
            <w:shd w:val="clear" w:color="auto" w:fill="auto"/>
          </w:tcPr>
          <w:p w:rsidR="000179B8" w:rsidRPr="008C1AE4" w:rsidRDefault="000179B8" w:rsidP="000179B8">
            <w:pPr>
              <w:jc w:val="both"/>
              <w:rPr>
                <w:rFonts w:eastAsiaTheme="minorHAnsi"/>
                <w:color w:val="FF0000"/>
                <w:sz w:val="22"/>
                <w:szCs w:val="22"/>
                <w:lang w:eastAsia="en-US"/>
              </w:rPr>
            </w:pPr>
            <w:r>
              <w:rPr>
                <w:i/>
                <w:iCs/>
                <w:color w:val="000000"/>
              </w:rPr>
              <w:t>III.1.1.a. Zhvillimi i fushatës së  përvitshme të ndërgjegjësimit publik në kuadër të Ditës Ndërkombëtare kundër Homofobisë</w:t>
            </w:r>
          </w:p>
        </w:tc>
        <w:tc>
          <w:tcPr>
            <w:tcW w:w="2067" w:type="dxa"/>
          </w:tcPr>
          <w:p w:rsidR="000179B8" w:rsidRPr="0005701D" w:rsidRDefault="000179B8" w:rsidP="000179B8">
            <w:pPr>
              <w:jc w:val="center"/>
              <w:rPr>
                <w:bCs/>
                <w:i/>
                <w:sz w:val="22"/>
                <w:szCs w:val="22"/>
                <w:highlight w:val="magenta"/>
                <w:lang w:val="en-US"/>
              </w:rPr>
            </w:pPr>
            <w:r>
              <w:rPr>
                <w:i/>
                <w:iCs/>
                <w:color w:val="000000"/>
              </w:rPr>
              <w:t xml:space="preserve">6 fushata kombëtare të </w:t>
            </w:r>
            <w:r>
              <w:rPr>
                <w:i/>
                <w:iCs/>
                <w:color w:val="000000"/>
              </w:rPr>
              <w:lastRenderedPageBreak/>
              <w:t>përvitshme</w:t>
            </w:r>
          </w:p>
        </w:tc>
        <w:tc>
          <w:tcPr>
            <w:tcW w:w="2067" w:type="dxa"/>
            <w:gridSpan w:val="2"/>
            <w:shd w:val="clear" w:color="auto" w:fill="auto"/>
          </w:tcPr>
          <w:p w:rsidR="000179B8" w:rsidRPr="0005701D" w:rsidRDefault="000179B8" w:rsidP="000179B8">
            <w:pPr>
              <w:jc w:val="center"/>
              <w:rPr>
                <w:b/>
                <w:i/>
                <w:iCs/>
                <w:sz w:val="22"/>
                <w:szCs w:val="22"/>
                <w:highlight w:val="magenta"/>
                <w:lang w:val="en-US"/>
              </w:rPr>
            </w:pPr>
            <w:r>
              <w:rPr>
                <w:i/>
                <w:iCs/>
                <w:color w:val="000000"/>
              </w:rPr>
              <w:lastRenderedPageBreak/>
              <w:t>MSHMS</w:t>
            </w:r>
          </w:p>
        </w:tc>
        <w:tc>
          <w:tcPr>
            <w:tcW w:w="2520" w:type="dxa"/>
            <w:gridSpan w:val="2"/>
          </w:tcPr>
          <w:p w:rsidR="000179B8" w:rsidRPr="0005701D" w:rsidRDefault="000179B8" w:rsidP="000179B8">
            <w:pPr>
              <w:jc w:val="center"/>
              <w:rPr>
                <w:i/>
                <w:sz w:val="22"/>
                <w:szCs w:val="22"/>
                <w:highlight w:val="magenta"/>
                <w:lang w:val="en-US"/>
              </w:rPr>
            </w:pPr>
            <w:r>
              <w:rPr>
                <w:i/>
                <w:iCs/>
                <w:color w:val="000000"/>
              </w:rPr>
              <w:t xml:space="preserve">KMD, AP, Ministritë e linjës, NJVV, OJF, org. </w:t>
            </w:r>
            <w:r>
              <w:rPr>
                <w:i/>
                <w:iCs/>
                <w:color w:val="000000"/>
              </w:rPr>
              <w:lastRenderedPageBreak/>
              <w:t>ndërkombëtare, mediat, akademia</w:t>
            </w:r>
          </w:p>
        </w:tc>
        <w:tc>
          <w:tcPr>
            <w:tcW w:w="1765" w:type="dxa"/>
          </w:tcPr>
          <w:p w:rsidR="000179B8" w:rsidRPr="0005701D" w:rsidRDefault="000179B8" w:rsidP="000179B8">
            <w:pPr>
              <w:jc w:val="center"/>
              <w:rPr>
                <w:i/>
                <w:sz w:val="22"/>
                <w:szCs w:val="22"/>
                <w:lang w:val="en-US"/>
              </w:rPr>
            </w:pPr>
            <w:r>
              <w:rPr>
                <w:i/>
                <w:iCs/>
                <w:color w:val="000000"/>
              </w:rPr>
              <w:lastRenderedPageBreak/>
              <w:t>6M-I- 2022</w:t>
            </w:r>
            <w:r>
              <w:rPr>
                <w:i/>
                <w:iCs/>
                <w:color w:val="000000"/>
              </w:rPr>
              <w:br/>
              <w:t xml:space="preserve">– </w:t>
            </w:r>
            <w:r>
              <w:rPr>
                <w:i/>
                <w:iCs/>
                <w:color w:val="000000"/>
              </w:rPr>
              <w:br/>
            </w:r>
            <w:r>
              <w:rPr>
                <w:i/>
                <w:iCs/>
                <w:color w:val="000000"/>
              </w:rPr>
              <w:lastRenderedPageBreak/>
              <w:t>6M-I- 2027</w:t>
            </w:r>
          </w:p>
        </w:tc>
      </w:tr>
      <w:tr w:rsidR="000179B8" w:rsidRPr="00265B92" w:rsidTr="00BA6EFB">
        <w:tc>
          <w:tcPr>
            <w:tcW w:w="7308" w:type="dxa"/>
            <w:gridSpan w:val="5"/>
            <w:shd w:val="clear" w:color="auto" w:fill="auto"/>
          </w:tcPr>
          <w:p w:rsidR="000179B8" w:rsidRPr="008C1AE4" w:rsidRDefault="000179B8" w:rsidP="000179B8">
            <w:pPr>
              <w:jc w:val="both"/>
              <w:rPr>
                <w:rFonts w:eastAsiaTheme="minorHAnsi"/>
                <w:color w:val="FF0000"/>
                <w:sz w:val="22"/>
                <w:szCs w:val="22"/>
                <w:lang w:eastAsia="en-US"/>
              </w:rPr>
            </w:pPr>
            <w:r>
              <w:rPr>
                <w:i/>
                <w:iCs/>
                <w:color w:val="000000"/>
              </w:rPr>
              <w:lastRenderedPageBreak/>
              <w:t>III.1.1.b. Organizimi i orëve të hapura me të ftuar nga organizatat LGBTI+ , ose mbi çështje të komunitetit LGBTI+, në shkollat e mesme në Shqipëri</w:t>
            </w:r>
          </w:p>
        </w:tc>
        <w:tc>
          <w:tcPr>
            <w:tcW w:w="2067" w:type="dxa"/>
          </w:tcPr>
          <w:p w:rsidR="000179B8" w:rsidRPr="0005701D" w:rsidRDefault="000179B8" w:rsidP="000179B8">
            <w:pPr>
              <w:jc w:val="center"/>
              <w:rPr>
                <w:bCs/>
                <w:i/>
                <w:sz w:val="22"/>
                <w:szCs w:val="22"/>
                <w:highlight w:val="magenta"/>
                <w:lang w:val="en-US"/>
              </w:rPr>
            </w:pPr>
            <w:r>
              <w:rPr>
                <w:i/>
                <w:iCs/>
                <w:color w:val="000000"/>
              </w:rPr>
              <w:t>35 orë të hapura të zhvilluara në shkolla të mesme të Shqipërisë në rang qarku</w:t>
            </w:r>
          </w:p>
        </w:tc>
        <w:tc>
          <w:tcPr>
            <w:tcW w:w="2067" w:type="dxa"/>
            <w:gridSpan w:val="2"/>
            <w:shd w:val="clear" w:color="auto" w:fill="auto"/>
          </w:tcPr>
          <w:p w:rsidR="000179B8" w:rsidRPr="0005701D" w:rsidRDefault="000179B8" w:rsidP="000179B8">
            <w:pPr>
              <w:jc w:val="center"/>
              <w:rPr>
                <w:b/>
                <w:i/>
                <w:iCs/>
                <w:sz w:val="22"/>
                <w:szCs w:val="22"/>
                <w:highlight w:val="magenta"/>
                <w:lang w:val="en-US"/>
              </w:rPr>
            </w:pPr>
            <w:r>
              <w:rPr>
                <w:i/>
                <w:iCs/>
                <w:color w:val="000000"/>
              </w:rPr>
              <w:t>MASR/ZVAP</w:t>
            </w:r>
          </w:p>
        </w:tc>
        <w:tc>
          <w:tcPr>
            <w:tcW w:w="2520" w:type="dxa"/>
            <w:gridSpan w:val="2"/>
          </w:tcPr>
          <w:p w:rsidR="000179B8" w:rsidRPr="0005701D" w:rsidRDefault="000179B8" w:rsidP="000179B8">
            <w:pPr>
              <w:jc w:val="center"/>
              <w:rPr>
                <w:i/>
                <w:sz w:val="22"/>
                <w:szCs w:val="22"/>
                <w:highlight w:val="magenta"/>
                <w:lang w:val="en-US"/>
              </w:rPr>
            </w:pPr>
            <w:r>
              <w:rPr>
                <w:i/>
                <w:iCs/>
                <w:color w:val="000000"/>
              </w:rPr>
              <w:t>KMD, AP, Ministritë e linjës, NJVV, OJF, org. ndërkombëtare</w:t>
            </w:r>
          </w:p>
        </w:tc>
        <w:tc>
          <w:tcPr>
            <w:tcW w:w="1765" w:type="dxa"/>
          </w:tcPr>
          <w:p w:rsidR="000179B8" w:rsidRPr="0005701D" w:rsidRDefault="000179B8" w:rsidP="000179B8">
            <w:pPr>
              <w:jc w:val="center"/>
              <w:rPr>
                <w:i/>
                <w:sz w:val="22"/>
                <w:szCs w:val="22"/>
                <w:lang w:val="en-US"/>
              </w:rPr>
            </w:pPr>
            <w:r>
              <w:rPr>
                <w:i/>
                <w:iCs/>
                <w:color w:val="000000"/>
              </w:rPr>
              <w:t>6M-II- 2022</w:t>
            </w:r>
            <w:r>
              <w:rPr>
                <w:i/>
                <w:iCs/>
                <w:color w:val="000000"/>
              </w:rPr>
              <w:br/>
              <w:t xml:space="preserve">– </w:t>
            </w:r>
            <w:r>
              <w:rPr>
                <w:i/>
                <w:iCs/>
                <w:color w:val="000000"/>
              </w:rPr>
              <w:br/>
              <w:t>6M-II- 2027</w:t>
            </w:r>
          </w:p>
        </w:tc>
      </w:tr>
      <w:tr w:rsidR="000179B8" w:rsidRPr="00265B92" w:rsidTr="00BA6EFB">
        <w:tc>
          <w:tcPr>
            <w:tcW w:w="7308" w:type="dxa"/>
            <w:gridSpan w:val="5"/>
            <w:shd w:val="clear" w:color="auto" w:fill="auto"/>
          </w:tcPr>
          <w:p w:rsidR="000179B8" w:rsidRPr="0005701D" w:rsidRDefault="000179B8" w:rsidP="000179B8">
            <w:pPr>
              <w:jc w:val="both"/>
              <w:rPr>
                <w:i/>
                <w:sz w:val="22"/>
                <w:szCs w:val="22"/>
                <w:lang w:val="en-US"/>
              </w:rPr>
            </w:pPr>
            <w:r>
              <w:rPr>
                <w:i/>
                <w:iCs/>
                <w:color w:val="000000"/>
              </w:rPr>
              <w:t>III.I.1.c. Trajnimi i gazetareve dhe gazetarëve për të trajtuar me korrektësi dhe etikë çështjet e LGBTI+ në media</w:t>
            </w:r>
          </w:p>
        </w:tc>
        <w:tc>
          <w:tcPr>
            <w:tcW w:w="2067" w:type="dxa"/>
          </w:tcPr>
          <w:p w:rsidR="000179B8" w:rsidRPr="0005701D" w:rsidRDefault="000179B8" w:rsidP="000179B8">
            <w:pPr>
              <w:jc w:val="center"/>
              <w:rPr>
                <w:bCs/>
                <w:i/>
                <w:sz w:val="22"/>
                <w:szCs w:val="22"/>
                <w:highlight w:val="magenta"/>
                <w:lang w:val="en-US"/>
              </w:rPr>
            </w:pPr>
            <w:r>
              <w:rPr>
                <w:i/>
                <w:iCs/>
                <w:color w:val="000000"/>
              </w:rPr>
              <w:t>30 gazetarë të trajnuar çdo vit</w:t>
            </w:r>
          </w:p>
        </w:tc>
        <w:tc>
          <w:tcPr>
            <w:tcW w:w="2067" w:type="dxa"/>
            <w:gridSpan w:val="2"/>
            <w:shd w:val="clear" w:color="auto" w:fill="auto"/>
          </w:tcPr>
          <w:p w:rsidR="000179B8" w:rsidRPr="0005701D" w:rsidRDefault="000179B8" w:rsidP="000179B8">
            <w:pPr>
              <w:jc w:val="center"/>
              <w:rPr>
                <w:b/>
                <w:i/>
                <w:iCs/>
                <w:sz w:val="22"/>
                <w:szCs w:val="22"/>
              </w:rPr>
            </w:pPr>
            <w:r>
              <w:rPr>
                <w:i/>
                <w:iCs/>
                <w:color w:val="000000"/>
              </w:rPr>
              <w:t>AMA</w:t>
            </w:r>
          </w:p>
        </w:tc>
        <w:tc>
          <w:tcPr>
            <w:tcW w:w="2520" w:type="dxa"/>
            <w:gridSpan w:val="2"/>
          </w:tcPr>
          <w:p w:rsidR="000179B8" w:rsidRPr="0005701D" w:rsidRDefault="000179B8" w:rsidP="000179B8">
            <w:pPr>
              <w:jc w:val="center"/>
              <w:rPr>
                <w:i/>
                <w:sz w:val="22"/>
                <w:szCs w:val="22"/>
                <w:lang w:val="en-US"/>
              </w:rPr>
            </w:pPr>
            <w:r>
              <w:rPr>
                <w:i/>
                <w:iCs/>
                <w:color w:val="000000"/>
              </w:rPr>
              <w:t>Fakulteti i Gazetarisë, KMD, AP, MSHMS, OJF, org. ndërkombëtare</w:t>
            </w:r>
          </w:p>
        </w:tc>
        <w:tc>
          <w:tcPr>
            <w:tcW w:w="1765" w:type="dxa"/>
          </w:tcPr>
          <w:p w:rsidR="000179B8" w:rsidRPr="0005701D" w:rsidRDefault="000179B8" w:rsidP="000179B8">
            <w:pPr>
              <w:jc w:val="center"/>
              <w:rPr>
                <w:i/>
                <w:sz w:val="22"/>
                <w:szCs w:val="22"/>
                <w:lang w:val="en-US"/>
              </w:rPr>
            </w:pPr>
            <w:r>
              <w:rPr>
                <w:i/>
                <w:iCs/>
                <w:color w:val="000000"/>
              </w:rPr>
              <w:t>6M-I- 2022</w:t>
            </w:r>
            <w:r>
              <w:rPr>
                <w:i/>
                <w:iCs/>
                <w:color w:val="000000"/>
              </w:rPr>
              <w:br/>
              <w:t xml:space="preserve">– </w:t>
            </w:r>
            <w:r>
              <w:rPr>
                <w:i/>
                <w:iCs/>
                <w:color w:val="000000"/>
              </w:rPr>
              <w:br/>
              <w:t>6M-I- 2027</w:t>
            </w:r>
          </w:p>
        </w:tc>
      </w:tr>
      <w:tr w:rsidR="000179B8" w:rsidRPr="00265B92" w:rsidTr="00BA6EFB">
        <w:tc>
          <w:tcPr>
            <w:tcW w:w="7308" w:type="dxa"/>
            <w:gridSpan w:val="5"/>
            <w:shd w:val="clear" w:color="auto" w:fill="auto"/>
          </w:tcPr>
          <w:p w:rsidR="000179B8" w:rsidRPr="0005701D" w:rsidRDefault="000179B8" w:rsidP="000179B8">
            <w:pPr>
              <w:jc w:val="both"/>
              <w:rPr>
                <w:i/>
                <w:sz w:val="22"/>
                <w:szCs w:val="22"/>
                <w:lang w:val="en-US"/>
              </w:rPr>
            </w:pPr>
            <w:r>
              <w:rPr>
                <w:i/>
                <w:iCs/>
                <w:color w:val="000000"/>
              </w:rPr>
              <w:t>III,1.1.d. Monitorimi i medias mbi thyerjen e etikës në trajtimin e çështjeve që lidhen me personat LGBTI+, gjuhën e urrejtjes dhe diskriminimit të përdorur ndaj tyre, etj</w:t>
            </w:r>
          </w:p>
        </w:tc>
        <w:tc>
          <w:tcPr>
            <w:tcW w:w="2067" w:type="dxa"/>
          </w:tcPr>
          <w:p w:rsidR="000179B8" w:rsidRPr="0005701D" w:rsidRDefault="000179B8" w:rsidP="000179B8">
            <w:pPr>
              <w:jc w:val="center"/>
              <w:rPr>
                <w:bCs/>
                <w:i/>
                <w:sz w:val="22"/>
                <w:szCs w:val="22"/>
                <w:highlight w:val="magenta"/>
                <w:lang w:val="en-US"/>
              </w:rPr>
            </w:pPr>
            <w:r>
              <w:rPr>
                <w:i/>
                <w:iCs/>
                <w:color w:val="000000"/>
              </w:rPr>
              <w:t>1 raport monirtorimi i përvitshëm</w:t>
            </w:r>
          </w:p>
        </w:tc>
        <w:tc>
          <w:tcPr>
            <w:tcW w:w="2067" w:type="dxa"/>
            <w:gridSpan w:val="2"/>
            <w:shd w:val="clear" w:color="auto" w:fill="auto"/>
          </w:tcPr>
          <w:p w:rsidR="000179B8" w:rsidRPr="0005701D" w:rsidRDefault="000179B8" w:rsidP="000179B8">
            <w:pPr>
              <w:jc w:val="center"/>
              <w:rPr>
                <w:b/>
                <w:i/>
                <w:iCs/>
                <w:sz w:val="22"/>
                <w:szCs w:val="22"/>
              </w:rPr>
            </w:pPr>
            <w:r>
              <w:rPr>
                <w:i/>
                <w:iCs/>
                <w:color w:val="000000"/>
              </w:rPr>
              <w:t>AMA</w:t>
            </w:r>
          </w:p>
        </w:tc>
        <w:tc>
          <w:tcPr>
            <w:tcW w:w="2520" w:type="dxa"/>
            <w:gridSpan w:val="2"/>
          </w:tcPr>
          <w:p w:rsidR="000179B8" w:rsidRPr="0005701D" w:rsidRDefault="000179B8" w:rsidP="000179B8">
            <w:pPr>
              <w:jc w:val="center"/>
              <w:rPr>
                <w:i/>
                <w:sz w:val="22"/>
                <w:szCs w:val="22"/>
                <w:lang w:val="en-US"/>
              </w:rPr>
            </w:pPr>
            <w:r>
              <w:rPr>
                <w:i/>
                <w:iCs/>
                <w:color w:val="000000"/>
              </w:rPr>
              <w:t>Fakulteti i Gazetarisë, KMD, AP, MSHMS, OJF, org. ndërkombëtare</w:t>
            </w:r>
          </w:p>
        </w:tc>
        <w:tc>
          <w:tcPr>
            <w:tcW w:w="1765" w:type="dxa"/>
          </w:tcPr>
          <w:p w:rsidR="000179B8" w:rsidRPr="0005701D" w:rsidRDefault="000179B8" w:rsidP="000179B8">
            <w:pPr>
              <w:jc w:val="center"/>
              <w:rPr>
                <w:i/>
                <w:sz w:val="22"/>
                <w:szCs w:val="22"/>
                <w:lang w:val="en-US"/>
              </w:rPr>
            </w:pPr>
            <w:r>
              <w:rPr>
                <w:i/>
                <w:iCs/>
                <w:color w:val="000000"/>
              </w:rPr>
              <w:t>6M-I- 2022</w:t>
            </w:r>
            <w:r>
              <w:rPr>
                <w:i/>
                <w:iCs/>
                <w:color w:val="000000"/>
              </w:rPr>
              <w:br/>
              <w:t xml:space="preserve">– </w:t>
            </w:r>
            <w:r>
              <w:rPr>
                <w:i/>
                <w:iCs/>
                <w:color w:val="000000"/>
              </w:rPr>
              <w:br/>
              <w:t>6M-I- 2027</w:t>
            </w:r>
          </w:p>
        </w:tc>
      </w:tr>
      <w:tr w:rsidR="000179B8" w:rsidRPr="00265B92" w:rsidTr="00BA6EFB">
        <w:tc>
          <w:tcPr>
            <w:tcW w:w="7308" w:type="dxa"/>
            <w:gridSpan w:val="5"/>
            <w:shd w:val="clear" w:color="auto" w:fill="auto"/>
          </w:tcPr>
          <w:p w:rsidR="000179B8" w:rsidRPr="0005701D" w:rsidRDefault="001A79E3" w:rsidP="001A79E3">
            <w:pPr>
              <w:jc w:val="both"/>
              <w:rPr>
                <w:i/>
                <w:sz w:val="22"/>
                <w:szCs w:val="22"/>
                <w:lang w:val="en-US"/>
              </w:rPr>
            </w:pPr>
            <w:r>
              <w:rPr>
                <w:i/>
                <w:iCs/>
                <w:color w:val="000000"/>
              </w:rPr>
              <w:t>III.1.1.e. Studim perceptimi (ç</w:t>
            </w:r>
            <w:r w:rsidR="000179B8">
              <w:rPr>
                <w:i/>
                <w:iCs/>
                <w:color w:val="000000"/>
              </w:rPr>
              <w:t>do 4 vjet) mbi qëndrimet e publikut ndaj personave LGBTI+ si dhe mbi vet</w:t>
            </w:r>
            <w:r w:rsidR="008551B5">
              <w:rPr>
                <w:i/>
                <w:iCs/>
                <w:color w:val="000000"/>
              </w:rPr>
              <w:t>ë</w:t>
            </w:r>
            <w:r w:rsidR="000179B8">
              <w:rPr>
                <w:i/>
                <w:iCs/>
                <w:color w:val="000000"/>
              </w:rPr>
              <w:t xml:space="preserve"> perceptimin e personave LGBTI+ mbi nivelin e pranueshm</w:t>
            </w:r>
            <w:r w:rsidR="008551B5">
              <w:rPr>
                <w:i/>
                <w:iCs/>
                <w:color w:val="000000"/>
              </w:rPr>
              <w:t>ë</w:t>
            </w:r>
            <w:r w:rsidR="000179B8">
              <w:rPr>
                <w:i/>
                <w:iCs/>
                <w:color w:val="000000"/>
              </w:rPr>
              <w:t>ris</w:t>
            </w:r>
            <w:r w:rsidR="008551B5">
              <w:rPr>
                <w:i/>
                <w:iCs/>
                <w:color w:val="000000"/>
              </w:rPr>
              <w:t>ë</w:t>
            </w:r>
            <w:r w:rsidR="000179B8">
              <w:rPr>
                <w:i/>
                <w:iCs/>
                <w:color w:val="000000"/>
              </w:rPr>
              <w:t xml:space="preserve"> s</w:t>
            </w:r>
            <w:r w:rsidR="008551B5">
              <w:rPr>
                <w:i/>
                <w:iCs/>
                <w:color w:val="000000"/>
              </w:rPr>
              <w:t>ë</w:t>
            </w:r>
            <w:r w:rsidR="000179B8">
              <w:rPr>
                <w:i/>
                <w:iCs/>
                <w:color w:val="000000"/>
              </w:rPr>
              <w:t xml:space="preserve"> tyre nga ana e shoq</w:t>
            </w:r>
            <w:r w:rsidR="008551B5">
              <w:rPr>
                <w:i/>
                <w:iCs/>
                <w:color w:val="000000"/>
              </w:rPr>
              <w:t>ë</w:t>
            </w:r>
            <w:r w:rsidR="000179B8">
              <w:rPr>
                <w:i/>
                <w:iCs/>
                <w:color w:val="000000"/>
              </w:rPr>
              <w:t>ris</w:t>
            </w:r>
            <w:r w:rsidR="008551B5">
              <w:rPr>
                <w:i/>
                <w:iCs/>
                <w:color w:val="000000"/>
              </w:rPr>
              <w:t>ë</w:t>
            </w:r>
          </w:p>
        </w:tc>
        <w:tc>
          <w:tcPr>
            <w:tcW w:w="2067" w:type="dxa"/>
          </w:tcPr>
          <w:p w:rsidR="000179B8" w:rsidRPr="0005701D" w:rsidRDefault="000179B8" w:rsidP="000179B8">
            <w:pPr>
              <w:jc w:val="center"/>
              <w:rPr>
                <w:bCs/>
                <w:i/>
                <w:sz w:val="22"/>
                <w:szCs w:val="22"/>
                <w:highlight w:val="magenta"/>
                <w:lang w:val="en-US"/>
              </w:rPr>
            </w:pPr>
            <w:r>
              <w:rPr>
                <w:i/>
                <w:iCs/>
                <w:color w:val="000000"/>
              </w:rPr>
              <w:t>Studimi i përgatitur me të dhënat mbi nivelin e pranimit të personave LGBTI+ në shoqëri</w:t>
            </w:r>
          </w:p>
        </w:tc>
        <w:tc>
          <w:tcPr>
            <w:tcW w:w="2067" w:type="dxa"/>
            <w:gridSpan w:val="2"/>
            <w:shd w:val="clear" w:color="auto" w:fill="auto"/>
          </w:tcPr>
          <w:p w:rsidR="000179B8" w:rsidRPr="0005701D" w:rsidRDefault="000179B8" w:rsidP="000179B8">
            <w:pPr>
              <w:jc w:val="center"/>
              <w:rPr>
                <w:b/>
                <w:i/>
                <w:iCs/>
                <w:sz w:val="22"/>
                <w:szCs w:val="22"/>
              </w:rPr>
            </w:pPr>
            <w:r>
              <w:rPr>
                <w:i/>
                <w:iCs/>
                <w:color w:val="000000"/>
              </w:rPr>
              <w:t>MSHMS</w:t>
            </w:r>
          </w:p>
        </w:tc>
        <w:tc>
          <w:tcPr>
            <w:tcW w:w="2520" w:type="dxa"/>
            <w:gridSpan w:val="2"/>
          </w:tcPr>
          <w:p w:rsidR="000179B8" w:rsidRPr="0005701D" w:rsidRDefault="000179B8" w:rsidP="000179B8">
            <w:pPr>
              <w:jc w:val="center"/>
              <w:rPr>
                <w:i/>
                <w:sz w:val="22"/>
                <w:szCs w:val="22"/>
                <w:lang w:val="en-US"/>
              </w:rPr>
            </w:pPr>
            <w:r>
              <w:rPr>
                <w:i/>
                <w:iCs/>
                <w:color w:val="000000"/>
              </w:rPr>
              <w:t>INSTAT, MD, AP, Ministritë e linjës, IAL, NJVV, OJF, org. ndërkombëtare</w:t>
            </w:r>
          </w:p>
        </w:tc>
        <w:tc>
          <w:tcPr>
            <w:tcW w:w="1765" w:type="dxa"/>
          </w:tcPr>
          <w:p w:rsidR="000179B8" w:rsidRPr="0005701D" w:rsidRDefault="000179B8" w:rsidP="000179B8">
            <w:pPr>
              <w:jc w:val="center"/>
              <w:rPr>
                <w:i/>
                <w:sz w:val="22"/>
                <w:szCs w:val="22"/>
                <w:lang w:val="en-US"/>
              </w:rPr>
            </w:pPr>
            <w:r>
              <w:rPr>
                <w:i/>
                <w:iCs/>
                <w:color w:val="000000"/>
              </w:rPr>
              <w:t>6M-I- 2022</w:t>
            </w:r>
            <w:r>
              <w:rPr>
                <w:i/>
                <w:iCs/>
                <w:color w:val="000000"/>
              </w:rPr>
              <w:br/>
              <w:t xml:space="preserve">– </w:t>
            </w:r>
            <w:r>
              <w:rPr>
                <w:i/>
                <w:iCs/>
                <w:color w:val="000000"/>
              </w:rPr>
              <w:br/>
              <w:t>6M-I- 2023 dhe 6M-I- 2026</w:t>
            </w:r>
            <w:r>
              <w:rPr>
                <w:i/>
                <w:iCs/>
                <w:color w:val="000000"/>
              </w:rPr>
              <w:br/>
              <w:t xml:space="preserve">– </w:t>
            </w:r>
            <w:r>
              <w:rPr>
                <w:i/>
                <w:iCs/>
                <w:color w:val="000000"/>
              </w:rPr>
              <w:br/>
              <w:t>6M-I- 2027</w:t>
            </w:r>
          </w:p>
        </w:tc>
      </w:tr>
      <w:tr w:rsidR="000179B8" w:rsidRPr="00265B92" w:rsidTr="00BA6EFB">
        <w:tc>
          <w:tcPr>
            <w:tcW w:w="7308" w:type="dxa"/>
            <w:gridSpan w:val="5"/>
            <w:shd w:val="clear" w:color="auto" w:fill="auto"/>
          </w:tcPr>
          <w:p w:rsidR="000179B8" w:rsidRPr="0005701D" w:rsidRDefault="000179B8" w:rsidP="000179B8">
            <w:pPr>
              <w:jc w:val="both"/>
              <w:rPr>
                <w:i/>
                <w:sz w:val="22"/>
                <w:szCs w:val="22"/>
                <w:lang w:val="en-US"/>
              </w:rPr>
            </w:pPr>
            <w:r>
              <w:rPr>
                <w:i/>
                <w:iCs/>
                <w:color w:val="000000"/>
              </w:rPr>
              <w:t>III.1.1.f. Zhvillimi i një aktiviteti kulturor të përvitshëm me tematikë ose me në qendër personat LGBTI+</w:t>
            </w:r>
          </w:p>
        </w:tc>
        <w:tc>
          <w:tcPr>
            <w:tcW w:w="2067" w:type="dxa"/>
          </w:tcPr>
          <w:p w:rsidR="000179B8" w:rsidRPr="0005701D" w:rsidRDefault="000179B8" w:rsidP="000179B8">
            <w:pPr>
              <w:jc w:val="center"/>
              <w:rPr>
                <w:bCs/>
                <w:i/>
                <w:sz w:val="22"/>
                <w:szCs w:val="22"/>
                <w:highlight w:val="magenta"/>
                <w:lang w:val="en-US"/>
              </w:rPr>
            </w:pPr>
            <w:r>
              <w:rPr>
                <w:i/>
                <w:iCs/>
                <w:color w:val="000000"/>
              </w:rPr>
              <w:t>Aktiviteti i zhvilluar çdo vit</w:t>
            </w:r>
          </w:p>
        </w:tc>
        <w:tc>
          <w:tcPr>
            <w:tcW w:w="2067" w:type="dxa"/>
            <w:gridSpan w:val="2"/>
            <w:shd w:val="clear" w:color="auto" w:fill="auto"/>
          </w:tcPr>
          <w:p w:rsidR="000179B8" w:rsidRPr="0005701D" w:rsidRDefault="000179B8" w:rsidP="000179B8">
            <w:pPr>
              <w:jc w:val="center"/>
              <w:rPr>
                <w:b/>
                <w:i/>
                <w:iCs/>
                <w:sz w:val="22"/>
                <w:szCs w:val="22"/>
              </w:rPr>
            </w:pPr>
            <w:r>
              <w:rPr>
                <w:i/>
                <w:iCs/>
                <w:color w:val="000000"/>
              </w:rPr>
              <w:t>Ministria e Kulturës</w:t>
            </w:r>
          </w:p>
        </w:tc>
        <w:tc>
          <w:tcPr>
            <w:tcW w:w="2520" w:type="dxa"/>
            <w:gridSpan w:val="2"/>
          </w:tcPr>
          <w:p w:rsidR="000179B8" w:rsidRPr="0005701D" w:rsidRDefault="000179B8" w:rsidP="000179B8">
            <w:pPr>
              <w:jc w:val="center"/>
              <w:rPr>
                <w:i/>
                <w:sz w:val="22"/>
                <w:szCs w:val="22"/>
                <w:lang w:val="en-US"/>
              </w:rPr>
            </w:pPr>
            <w:r>
              <w:rPr>
                <w:i/>
                <w:iCs/>
                <w:color w:val="000000"/>
              </w:rPr>
              <w:t>KMD, AP, Ministritë e linjës, NJVV, OJF, org. ndërkombëtare</w:t>
            </w:r>
          </w:p>
        </w:tc>
        <w:tc>
          <w:tcPr>
            <w:tcW w:w="1765" w:type="dxa"/>
          </w:tcPr>
          <w:p w:rsidR="000179B8" w:rsidRPr="0005701D" w:rsidRDefault="000179B8" w:rsidP="000179B8">
            <w:pPr>
              <w:jc w:val="center"/>
              <w:rPr>
                <w:i/>
                <w:sz w:val="22"/>
                <w:szCs w:val="22"/>
                <w:lang w:val="en-US"/>
              </w:rPr>
            </w:pPr>
            <w:r>
              <w:rPr>
                <w:i/>
                <w:iCs/>
                <w:color w:val="000000"/>
              </w:rPr>
              <w:t>6M-I- 2022</w:t>
            </w:r>
            <w:r>
              <w:rPr>
                <w:i/>
                <w:iCs/>
                <w:color w:val="000000"/>
              </w:rPr>
              <w:br/>
              <w:t xml:space="preserve">– </w:t>
            </w:r>
            <w:r>
              <w:rPr>
                <w:i/>
                <w:iCs/>
                <w:color w:val="000000"/>
              </w:rPr>
              <w:br/>
              <w:t>6M-I- 2027</w:t>
            </w:r>
          </w:p>
        </w:tc>
      </w:tr>
      <w:tr w:rsidR="00A32DC0" w:rsidRPr="00265B92" w:rsidTr="00BA6EFB">
        <w:tc>
          <w:tcPr>
            <w:tcW w:w="2700" w:type="dxa"/>
            <w:gridSpan w:val="4"/>
            <w:shd w:val="clear" w:color="auto" w:fill="FBD4B4" w:themeFill="accent6" w:themeFillTint="66"/>
          </w:tcPr>
          <w:p w:rsidR="00A32DC0" w:rsidRPr="0005701D" w:rsidRDefault="00A32DC0" w:rsidP="00A32DC0">
            <w:pPr>
              <w:rPr>
                <w:b/>
                <w:sz w:val="22"/>
                <w:szCs w:val="22"/>
                <w:highlight w:val="magenta"/>
              </w:rPr>
            </w:pPr>
            <w:r w:rsidRPr="0005701D">
              <w:rPr>
                <w:b/>
                <w:sz w:val="22"/>
                <w:szCs w:val="22"/>
              </w:rPr>
              <w:t xml:space="preserve">Objektivi specifik </w:t>
            </w:r>
            <w:r w:rsidR="000179B8">
              <w:rPr>
                <w:b/>
                <w:sz w:val="22"/>
                <w:szCs w:val="22"/>
              </w:rPr>
              <w:t>III</w:t>
            </w:r>
            <w:r w:rsidRPr="0005701D">
              <w:rPr>
                <w:b/>
                <w:sz w:val="22"/>
                <w:szCs w:val="22"/>
              </w:rPr>
              <w:t>.2:</w:t>
            </w:r>
          </w:p>
        </w:tc>
        <w:tc>
          <w:tcPr>
            <w:tcW w:w="13027" w:type="dxa"/>
            <w:gridSpan w:val="7"/>
            <w:shd w:val="clear" w:color="auto" w:fill="FBD4B4" w:themeFill="accent6" w:themeFillTint="66"/>
          </w:tcPr>
          <w:p w:rsidR="00A32DC0" w:rsidRDefault="000179B8" w:rsidP="00A32DC0">
            <w:pPr>
              <w:jc w:val="both"/>
              <w:rPr>
                <w:b/>
                <w:sz w:val="22"/>
                <w:szCs w:val="22"/>
              </w:rPr>
            </w:pPr>
            <w:r w:rsidRPr="000179B8">
              <w:rPr>
                <w:b/>
                <w:sz w:val="22"/>
                <w:szCs w:val="22"/>
              </w:rPr>
              <w:t>Përmirësimi i ndërgjegjësimit për çështjet LGBTI+ midis punëdhënësve publikë e privatë.</w:t>
            </w:r>
          </w:p>
          <w:p w:rsidR="001A79E3" w:rsidRPr="0005701D" w:rsidRDefault="001A79E3" w:rsidP="00A32DC0">
            <w:pPr>
              <w:jc w:val="both"/>
              <w:rPr>
                <w:b/>
                <w:sz w:val="22"/>
                <w:szCs w:val="22"/>
                <w:highlight w:val="magenta"/>
              </w:rPr>
            </w:pPr>
          </w:p>
        </w:tc>
      </w:tr>
      <w:tr w:rsidR="00A32DC0" w:rsidRPr="00265B92" w:rsidTr="00BA6EFB">
        <w:tc>
          <w:tcPr>
            <w:tcW w:w="2700" w:type="dxa"/>
            <w:gridSpan w:val="4"/>
            <w:shd w:val="clear" w:color="auto" w:fill="FDE9D9" w:themeFill="accent6" w:themeFillTint="33"/>
          </w:tcPr>
          <w:p w:rsidR="00A32DC0" w:rsidRPr="0005701D" w:rsidRDefault="00A32DC0" w:rsidP="00A32DC0">
            <w:pPr>
              <w:rPr>
                <w:b/>
                <w:sz w:val="22"/>
                <w:szCs w:val="22"/>
                <w:u w:val="single"/>
                <w:lang w:val="en-US"/>
              </w:rPr>
            </w:pPr>
            <w:r w:rsidRPr="0005701D">
              <w:rPr>
                <w:b/>
                <w:bCs/>
                <w:sz w:val="22"/>
                <w:szCs w:val="22"/>
                <w:u w:val="single"/>
              </w:rPr>
              <w:t xml:space="preserve">Rezultatet e pritshme: </w:t>
            </w:r>
          </w:p>
          <w:p w:rsidR="00A32DC0" w:rsidRPr="0005701D" w:rsidRDefault="00A32DC0" w:rsidP="00A32DC0">
            <w:pPr>
              <w:rPr>
                <w:b/>
                <w:bCs/>
                <w:sz w:val="22"/>
                <w:szCs w:val="22"/>
                <w:u w:val="single"/>
              </w:rPr>
            </w:pPr>
          </w:p>
        </w:tc>
        <w:tc>
          <w:tcPr>
            <w:tcW w:w="13027" w:type="dxa"/>
            <w:gridSpan w:val="7"/>
            <w:shd w:val="clear" w:color="auto" w:fill="FDE9D9" w:themeFill="accent6" w:themeFillTint="33"/>
          </w:tcPr>
          <w:p w:rsidR="00A32DC0" w:rsidRPr="0005701D" w:rsidRDefault="000179B8" w:rsidP="00BE000A">
            <w:pPr>
              <w:tabs>
                <w:tab w:val="left" w:pos="810"/>
              </w:tabs>
              <w:ind w:left="810" w:hanging="810"/>
              <w:jc w:val="both"/>
              <w:rPr>
                <w:bCs/>
                <w:sz w:val="22"/>
                <w:szCs w:val="22"/>
              </w:rPr>
            </w:pPr>
            <w:r w:rsidRPr="000179B8">
              <w:rPr>
                <w:sz w:val="22"/>
                <w:szCs w:val="22"/>
                <w:lang w:val="en-US"/>
              </w:rPr>
              <w:t>i. Një mjedis i punëdhënësish më miqësor dhe i hapur ndaj pranimit dhe punësimit të personave LGBTI+</w:t>
            </w:r>
          </w:p>
        </w:tc>
      </w:tr>
      <w:tr w:rsidR="00A32DC0" w:rsidRPr="00265B92" w:rsidTr="00BA6EFB">
        <w:tc>
          <w:tcPr>
            <w:tcW w:w="2700" w:type="dxa"/>
            <w:gridSpan w:val="4"/>
            <w:shd w:val="clear" w:color="auto" w:fill="FDE9D9" w:themeFill="accent6" w:themeFillTint="33"/>
          </w:tcPr>
          <w:p w:rsidR="00A32DC0" w:rsidRPr="0005701D" w:rsidRDefault="00A32DC0" w:rsidP="00A32DC0">
            <w:pPr>
              <w:rPr>
                <w:b/>
                <w:bCs/>
                <w:sz w:val="22"/>
                <w:szCs w:val="22"/>
                <w:u w:val="single"/>
              </w:rPr>
            </w:pPr>
            <w:r w:rsidRPr="0005701D">
              <w:rPr>
                <w:b/>
                <w:bCs/>
                <w:sz w:val="22"/>
                <w:szCs w:val="22"/>
                <w:u w:val="single"/>
              </w:rPr>
              <w:t>Treguesit</w:t>
            </w:r>
          </w:p>
        </w:tc>
        <w:tc>
          <w:tcPr>
            <w:tcW w:w="8730" w:type="dxa"/>
            <w:gridSpan w:val="3"/>
            <w:shd w:val="clear" w:color="auto" w:fill="FDE9D9" w:themeFill="accent6" w:themeFillTint="33"/>
          </w:tcPr>
          <w:p w:rsidR="000179B8" w:rsidRDefault="000179B8" w:rsidP="000179B8">
            <w:pPr>
              <w:jc w:val="both"/>
              <w:rPr>
                <w:bCs/>
                <w:sz w:val="22"/>
                <w:szCs w:val="22"/>
              </w:rPr>
            </w:pPr>
            <w:r w:rsidRPr="0005701D" w:rsidDel="000179B8">
              <w:rPr>
                <w:bCs/>
                <w:sz w:val="22"/>
                <w:szCs w:val="22"/>
              </w:rPr>
              <w:t xml:space="preserve"> </w:t>
            </w:r>
          </w:p>
          <w:p w:rsidR="00A32DC0" w:rsidRPr="0005701D" w:rsidRDefault="000179B8" w:rsidP="000179B8">
            <w:pPr>
              <w:jc w:val="both"/>
              <w:rPr>
                <w:bCs/>
                <w:sz w:val="22"/>
                <w:szCs w:val="22"/>
              </w:rPr>
            </w:pPr>
            <w:r w:rsidRPr="000179B8">
              <w:rPr>
                <w:bCs/>
                <w:sz w:val="22"/>
                <w:szCs w:val="22"/>
              </w:rPr>
              <w:t>III.2.a.Numri i ndërmarrjeve / kompanive / bizneseve që bashkohen me Kartën Kombëtare të Diversitetit .</w:t>
            </w:r>
          </w:p>
          <w:p w:rsidR="00A32DC0" w:rsidRPr="0005701D" w:rsidDel="000A2A07" w:rsidRDefault="00A32DC0" w:rsidP="00A32DC0">
            <w:pPr>
              <w:ind w:left="766" w:hanging="766"/>
              <w:jc w:val="both"/>
              <w:rPr>
                <w:bCs/>
                <w:sz w:val="22"/>
                <w:szCs w:val="22"/>
                <w:lang w:val="it-IT"/>
              </w:rPr>
            </w:pPr>
          </w:p>
        </w:tc>
        <w:tc>
          <w:tcPr>
            <w:tcW w:w="2520" w:type="dxa"/>
            <w:gridSpan w:val="2"/>
            <w:shd w:val="clear" w:color="auto" w:fill="FDE9D9" w:themeFill="accent6" w:themeFillTint="33"/>
          </w:tcPr>
          <w:p w:rsidR="00A32DC0" w:rsidRPr="0005701D" w:rsidRDefault="00A32DC0" w:rsidP="00A32DC0">
            <w:pPr>
              <w:jc w:val="center"/>
              <w:rPr>
                <w:bCs/>
                <w:sz w:val="22"/>
                <w:szCs w:val="22"/>
                <w:u w:val="single"/>
              </w:rPr>
            </w:pPr>
            <w:r w:rsidRPr="0005701D">
              <w:rPr>
                <w:bCs/>
                <w:sz w:val="22"/>
                <w:szCs w:val="22"/>
                <w:u w:val="single"/>
              </w:rPr>
              <w:t>Baseline</w:t>
            </w:r>
          </w:p>
          <w:p w:rsidR="00A32DC0" w:rsidRPr="0005701D" w:rsidDel="000A2A07" w:rsidRDefault="00A32DC0" w:rsidP="00A32DC0">
            <w:pPr>
              <w:jc w:val="center"/>
              <w:rPr>
                <w:bCs/>
                <w:i/>
                <w:iCs/>
                <w:sz w:val="22"/>
                <w:szCs w:val="22"/>
              </w:rPr>
            </w:pPr>
            <w:r w:rsidRPr="0005701D">
              <w:rPr>
                <w:i/>
                <w:iCs/>
                <w:color w:val="000000"/>
                <w:sz w:val="22"/>
                <w:szCs w:val="22"/>
              </w:rPr>
              <w:t xml:space="preserve"> </w:t>
            </w:r>
            <w:r w:rsidR="000179B8">
              <w:rPr>
                <w:i/>
                <w:iCs/>
                <w:color w:val="000000"/>
                <w:sz w:val="22"/>
                <w:szCs w:val="22"/>
              </w:rPr>
              <w:t xml:space="preserve">0 (2021) </w:t>
            </w:r>
          </w:p>
        </w:tc>
        <w:tc>
          <w:tcPr>
            <w:tcW w:w="1777" w:type="dxa"/>
            <w:gridSpan w:val="2"/>
            <w:shd w:val="clear" w:color="auto" w:fill="FDE9D9" w:themeFill="accent6" w:themeFillTint="33"/>
          </w:tcPr>
          <w:p w:rsidR="00A32DC0" w:rsidRPr="0005701D" w:rsidRDefault="00A32DC0" w:rsidP="00A32DC0">
            <w:pPr>
              <w:jc w:val="center"/>
              <w:rPr>
                <w:bCs/>
                <w:sz w:val="22"/>
                <w:szCs w:val="22"/>
                <w:u w:val="single"/>
              </w:rPr>
            </w:pPr>
            <w:r w:rsidRPr="0005701D">
              <w:rPr>
                <w:bCs/>
                <w:sz w:val="22"/>
                <w:szCs w:val="22"/>
                <w:u w:val="single"/>
              </w:rPr>
              <w:t>Target:</w:t>
            </w:r>
          </w:p>
          <w:p w:rsidR="00A32DC0" w:rsidRPr="0005701D" w:rsidDel="000A2A07" w:rsidRDefault="000179B8" w:rsidP="00A32DC0">
            <w:pPr>
              <w:jc w:val="center"/>
              <w:rPr>
                <w:bCs/>
                <w:sz w:val="22"/>
                <w:szCs w:val="22"/>
              </w:rPr>
            </w:pPr>
            <w:r>
              <w:rPr>
                <w:bCs/>
                <w:i/>
                <w:iCs/>
                <w:sz w:val="22"/>
                <w:szCs w:val="22"/>
              </w:rPr>
              <w:t>50 (2027)</w:t>
            </w:r>
          </w:p>
        </w:tc>
      </w:tr>
      <w:tr w:rsidR="00A32DC0" w:rsidRPr="00265B92" w:rsidTr="00BA6EFB">
        <w:tc>
          <w:tcPr>
            <w:tcW w:w="7308" w:type="dxa"/>
            <w:gridSpan w:val="5"/>
            <w:shd w:val="clear" w:color="auto" w:fill="C2D69B" w:themeFill="accent3" w:themeFillTint="99"/>
          </w:tcPr>
          <w:p w:rsidR="00A32DC0" w:rsidRPr="0005701D" w:rsidRDefault="00A32DC0" w:rsidP="00A32DC0">
            <w:pPr>
              <w:jc w:val="center"/>
              <w:rPr>
                <w:b/>
                <w:sz w:val="22"/>
                <w:szCs w:val="22"/>
              </w:rPr>
            </w:pPr>
            <w:r w:rsidRPr="0005701D">
              <w:rPr>
                <w:b/>
                <w:sz w:val="22"/>
                <w:szCs w:val="22"/>
              </w:rPr>
              <w:lastRenderedPageBreak/>
              <w:t>MASAT DHE AKTIVITETET</w:t>
            </w:r>
          </w:p>
        </w:tc>
        <w:tc>
          <w:tcPr>
            <w:tcW w:w="2067" w:type="dxa"/>
            <w:shd w:val="clear" w:color="auto" w:fill="C2D69B" w:themeFill="accent3" w:themeFillTint="99"/>
          </w:tcPr>
          <w:p w:rsidR="00A32DC0" w:rsidRPr="0005701D" w:rsidRDefault="00A32DC0" w:rsidP="00A32DC0">
            <w:pPr>
              <w:jc w:val="center"/>
              <w:rPr>
                <w:b/>
                <w:sz w:val="22"/>
                <w:szCs w:val="22"/>
              </w:rPr>
            </w:pPr>
            <w:r w:rsidRPr="0005701D">
              <w:rPr>
                <w:b/>
                <w:sz w:val="22"/>
                <w:szCs w:val="22"/>
              </w:rPr>
              <w:t>PRODUKTET</w:t>
            </w:r>
          </w:p>
        </w:tc>
        <w:tc>
          <w:tcPr>
            <w:tcW w:w="2067" w:type="dxa"/>
            <w:gridSpan w:val="2"/>
            <w:shd w:val="clear" w:color="auto" w:fill="C2D69B" w:themeFill="accent3" w:themeFillTint="99"/>
          </w:tcPr>
          <w:p w:rsidR="00A32DC0" w:rsidRPr="0005701D" w:rsidRDefault="00A32DC0" w:rsidP="00A32DC0">
            <w:pPr>
              <w:jc w:val="center"/>
              <w:rPr>
                <w:b/>
                <w:sz w:val="22"/>
                <w:szCs w:val="22"/>
              </w:rPr>
            </w:pPr>
            <w:r w:rsidRPr="0005701D">
              <w:rPr>
                <w:b/>
                <w:sz w:val="22"/>
                <w:szCs w:val="22"/>
              </w:rPr>
              <w:t>INSTITUCIONI PËRGJEGJËS</w:t>
            </w:r>
          </w:p>
        </w:tc>
        <w:tc>
          <w:tcPr>
            <w:tcW w:w="2520" w:type="dxa"/>
            <w:gridSpan w:val="2"/>
            <w:shd w:val="clear" w:color="auto" w:fill="C2D69B" w:themeFill="accent3" w:themeFillTint="99"/>
          </w:tcPr>
          <w:p w:rsidR="00A32DC0" w:rsidRPr="0005701D" w:rsidRDefault="00A32DC0" w:rsidP="00A32DC0">
            <w:pPr>
              <w:jc w:val="center"/>
              <w:rPr>
                <w:b/>
                <w:sz w:val="22"/>
                <w:szCs w:val="22"/>
              </w:rPr>
            </w:pPr>
            <w:r w:rsidRPr="0005701D">
              <w:rPr>
                <w:b/>
                <w:sz w:val="22"/>
                <w:szCs w:val="22"/>
              </w:rPr>
              <w:t>INSTITUCIONET PARTNERE</w:t>
            </w:r>
          </w:p>
        </w:tc>
        <w:tc>
          <w:tcPr>
            <w:tcW w:w="1765" w:type="dxa"/>
            <w:shd w:val="clear" w:color="auto" w:fill="C2D69B" w:themeFill="accent3" w:themeFillTint="99"/>
          </w:tcPr>
          <w:p w:rsidR="00A32DC0" w:rsidRPr="0005701D" w:rsidRDefault="00A32DC0" w:rsidP="00A32DC0">
            <w:pPr>
              <w:jc w:val="center"/>
              <w:rPr>
                <w:b/>
                <w:sz w:val="22"/>
                <w:szCs w:val="22"/>
              </w:rPr>
            </w:pPr>
            <w:r w:rsidRPr="0005701D">
              <w:rPr>
                <w:b/>
                <w:sz w:val="22"/>
                <w:szCs w:val="22"/>
              </w:rPr>
              <w:t>AFATI KOHOR</w:t>
            </w:r>
          </w:p>
        </w:tc>
      </w:tr>
      <w:tr w:rsidR="000179B8" w:rsidRPr="00265B92" w:rsidTr="00BA6EFB">
        <w:trPr>
          <w:trHeight w:val="971"/>
        </w:trPr>
        <w:tc>
          <w:tcPr>
            <w:tcW w:w="9375" w:type="dxa"/>
            <w:gridSpan w:val="6"/>
            <w:shd w:val="clear" w:color="auto" w:fill="EAF1DD" w:themeFill="accent3" w:themeFillTint="33"/>
          </w:tcPr>
          <w:p w:rsidR="000179B8" w:rsidRPr="0005701D" w:rsidRDefault="000179B8" w:rsidP="000179B8">
            <w:pPr>
              <w:jc w:val="both"/>
              <w:rPr>
                <w:b/>
                <w:bCs/>
                <w:sz w:val="22"/>
                <w:szCs w:val="22"/>
                <w:highlight w:val="magenta"/>
                <w:lang w:val="en-US"/>
              </w:rPr>
            </w:pPr>
            <w:r>
              <w:rPr>
                <w:b/>
                <w:bCs/>
                <w:color w:val="000000"/>
              </w:rPr>
              <w:t>III.2.1.Krijimi i një mjedisi punëdhënësish miqësor dhe pranues kundrejt personave LGBTI+ në Shqipëri</w:t>
            </w:r>
          </w:p>
        </w:tc>
        <w:tc>
          <w:tcPr>
            <w:tcW w:w="2067" w:type="dxa"/>
            <w:gridSpan w:val="2"/>
            <w:shd w:val="clear" w:color="auto" w:fill="EAF1DD" w:themeFill="accent3" w:themeFillTint="33"/>
          </w:tcPr>
          <w:p w:rsidR="000179B8" w:rsidRPr="0005701D" w:rsidRDefault="000179B8" w:rsidP="000179B8">
            <w:pPr>
              <w:jc w:val="center"/>
              <w:rPr>
                <w:b/>
                <w:sz w:val="22"/>
                <w:szCs w:val="22"/>
                <w:highlight w:val="magenta"/>
                <w:lang w:val="en-US"/>
              </w:rPr>
            </w:pPr>
            <w:r>
              <w:rPr>
                <w:b/>
                <w:bCs/>
                <w:color w:val="000000"/>
              </w:rPr>
              <w:t xml:space="preserve">MFE </w:t>
            </w:r>
          </w:p>
        </w:tc>
        <w:tc>
          <w:tcPr>
            <w:tcW w:w="2520" w:type="dxa"/>
            <w:gridSpan w:val="2"/>
            <w:shd w:val="clear" w:color="auto" w:fill="EAF1DD" w:themeFill="accent3" w:themeFillTint="33"/>
          </w:tcPr>
          <w:p w:rsidR="000179B8" w:rsidRPr="0005701D" w:rsidRDefault="000179B8" w:rsidP="000179B8">
            <w:pPr>
              <w:jc w:val="center"/>
              <w:rPr>
                <w:b/>
                <w:bCs/>
                <w:sz w:val="22"/>
                <w:szCs w:val="22"/>
                <w:highlight w:val="magenta"/>
                <w:lang w:val="en-US"/>
              </w:rPr>
            </w:pPr>
            <w:r>
              <w:rPr>
                <w:b/>
                <w:bCs/>
                <w:color w:val="000000"/>
              </w:rPr>
              <w:t>Dhoma e Tregëtisë, KMD, AP, MSHMS, OJF, org. ndërkombëtare</w:t>
            </w:r>
          </w:p>
        </w:tc>
        <w:tc>
          <w:tcPr>
            <w:tcW w:w="1765" w:type="dxa"/>
            <w:shd w:val="clear" w:color="auto" w:fill="EAF1DD" w:themeFill="accent3" w:themeFillTint="33"/>
          </w:tcPr>
          <w:p w:rsidR="000179B8" w:rsidRPr="0005701D" w:rsidRDefault="000179B8" w:rsidP="000179B8">
            <w:pPr>
              <w:jc w:val="center"/>
              <w:rPr>
                <w:b/>
                <w:sz w:val="22"/>
                <w:szCs w:val="22"/>
                <w:lang w:val="en-US"/>
              </w:rPr>
            </w:pPr>
            <w:r>
              <w:rPr>
                <w:b/>
                <w:bCs/>
                <w:color w:val="000000"/>
              </w:rPr>
              <w:t>6M-I- 2022</w:t>
            </w:r>
            <w:r>
              <w:rPr>
                <w:b/>
                <w:bCs/>
                <w:color w:val="000000"/>
              </w:rPr>
              <w:br/>
              <w:t xml:space="preserve">– </w:t>
            </w:r>
            <w:r>
              <w:rPr>
                <w:b/>
                <w:bCs/>
                <w:color w:val="000000"/>
              </w:rPr>
              <w:br/>
              <w:t>6M-II 2027</w:t>
            </w:r>
          </w:p>
        </w:tc>
      </w:tr>
      <w:tr w:rsidR="000179B8" w:rsidRPr="00265B92" w:rsidTr="00BA6EFB">
        <w:tc>
          <w:tcPr>
            <w:tcW w:w="7308" w:type="dxa"/>
            <w:gridSpan w:val="5"/>
            <w:shd w:val="clear" w:color="auto" w:fill="auto"/>
          </w:tcPr>
          <w:p w:rsidR="000179B8" w:rsidRPr="0005701D" w:rsidRDefault="000179B8" w:rsidP="000179B8">
            <w:pPr>
              <w:jc w:val="both"/>
              <w:rPr>
                <w:i/>
                <w:sz w:val="22"/>
                <w:szCs w:val="22"/>
                <w:highlight w:val="magenta"/>
                <w:lang w:val="en-US"/>
              </w:rPr>
            </w:pPr>
            <w:r>
              <w:rPr>
                <w:i/>
                <w:iCs/>
                <w:color w:val="000000"/>
              </w:rPr>
              <w:t>III.2.1.a.  Përgatitja dhe promovimi i një Karte Kombëtare të Diversitetit për punëdhënësit që të deklarohen si miqësorë ndaj personave LGBTI+.</w:t>
            </w:r>
          </w:p>
        </w:tc>
        <w:tc>
          <w:tcPr>
            <w:tcW w:w="2067" w:type="dxa"/>
          </w:tcPr>
          <w:p w:rsidR="000179B8" w:rsidRPr="0005701D" w:rsidRDefault="000179B8" w:rsidP="000179B8">
            <w:pPr>
              <w:jc w:val="center"/>
              <w:rPr>
                <w:bCs/>
                <w:i/>
                <w:sz w:val="22"/>
                <w:szCs w:val="22"/>
                <w:highlight w:val="magenta"/>
                <w:lang w:val="en-US"/>
              </w:rPr>
            </w:pPr>
            <w:r>
              <w:rPr>
                <w:i/>
                <w:iCs/>
                <w:color w:val="000000"/>
              </w:rPr>
              <w:t>Karta e përgatitur gati për nënshkrim</w:t>
            </w:r>
          </w:p>
        </w:tc>
        <w:tc>
          <w:tcPr>
            <w:tcW w:w="2067" w:type="dxa"/>
            <w:gridSpan w:val="2"/>
            <w:shd w:val="clear" w:color="auto" w:fill="auto"/>
          </w:tcPr>
          <w:p w:rsidR="000179B8" w:rsidRPr="0005701D" w:rsidRDefault="000179B8" w:rsidP="000179B8">
            <w:pPr>
              <w:jc w:val="center"/>
              <w:rPr>
                <w:b/>
                <w:i/>
                <w:iCs/>
                <w:sz w:val="22"/>
                <w:szCs w:val="22"/>
                <w:highlight w:val="magenta"/>
              </w:rPr>
            </w:pPr>
            <w:r>
              <w:rPr>
                <w:i/>
                <w:iCs/>
                <w:color w:val="000000"/>
              </w:rPr>
              <w:t xml:space="preserve">MFE </w:t>
            </w:r>
          </w:p>
        </w:tc>
        <w:tc>
          <w:tcPr>
            <w:tcW w:w="2520" w:type="dxa"/>
            <w:gridSpan w:val="2"/>
          </w:tcPr>
          <w:p w:rsidR="000179B8" w:rsidRPr="0005701D" w:rsidRDefault="000179B8" w:rsidP="000179B8">
            <w:pPr>
              <w:jc w:val="center"/>
              <w:rPr>
                <w:i/>
                <w:sz w:val="22"/>
                <w:szCs w:val="22"/>
                <w:highlight w:val="magenta"/>
                <w:lang w:val="en-US"/>
              </w:rPr>
            </w:pPr>
            <w:r>
              <w:rPr>
                <w:i/>
                <w:iCs/>
                <w:color w:val="000000"/>
              </w:rPr>
              <w:t>Dhoma e Tregëtisë, KMD, AP, MSHMS, OJF, org. ndërkombëtare</w:t>
            </w:r>
          </w:p>
        </w:tc>
        <w:tc>
          <w:tcPr>
            <w:tcW w:w="1765" w:type="dxa"/>
          </w:tcPr>
          <w:p w:rsidR="000179B8" w:rsidRPr="0005701D" w:rsidRDefault="000179B8" w:rsidP="000179B8">
            <w:pPr>
              <w:jc w:val="center"/>
              <w:rPr>
                <w:b/>
                <w:bCs/>
                <w:i/>
                <w:sz w:val="22"/>
                <w:szCs w:val="22"/>
                <w:lang w:val="en-US"/>
              </w:rPr>
            </w:pPr>
            <w:r>
              <w:rPr>
                <w:i/>
                <w:iCs/>
                <w:color w:val="000000"/>
              </w:rPr>
              <w:t>6M-I- 2022</w:t>
            </w:r>
            <w:r>
              <w:rPr>
                <w:i/>
                <w:iCs/>
                <w:color w:val="000000"/>
              </w:rPr>
              <w:br/>
              <w:t xml:space="preserve">– </w:t>
            </w:r>
            <w:r>
              <w:rPr>
                <w:i/>
                <w:iCs/>
                <w:color w:val="000000"/>
              </w:rPr>
              <w:br/>
              <w:t>6M-II 2022</w:t>
            </w:r>
          </w:p>
        </w:tc>
      </w:tr>
      <w:tr w:rsidR="000179B8" w:rsidRPr="00265B92" w:rsidTr="00BA6EFB">
        <w:tc>
          <w:tcPr>
            <w:tcW w:w="7308" w:type="dxa"/>
            <w:gridSpan w:val="5"/>
            <w:shd w:val="clear" w:color="auto" w:fill="auto"/>
          </w:tcPr>
          <w:p w:rsidR="000179B8" w:rsidRPr="0005701D" w:rsidRDefault="000179B8" w:rsidP="000179B8">
            <w:pPr>
              <w:jc w:val="both"/>
              <w:rPr>
                <w:i/>
                <w:sz w:val="22"/>
                <w:szCs w:val="22"/>
                <w:highlight w:val="magenta"/>
                <w:lang w:val="en-US"/>
              </w:rPr>
            </w:pPr>
            <w:r>
              <w:rPr>
                <w:i/>
                <w:iCs/>
                <w:color w:val="000000"/>
              </w:rPr>
              <w:t>III.2.1.b. Informimi i biznesit privat dhe punëndhënësve në tërësi mbi rëndësinë e nënshkrimit të Kartës</w:t>
            </w:r>
          </w:p>
        </w:tc>
        <w:tc>
          <w:tcPr>
            <w:tcW w:w="2067" w:type="dxa"/>
          </w:tcPr>
          <w:p w:rsidR="000179B8" w:rsidRPr="0005701D" w:rsidRDefault="000179B8" w:rsidP="000179B8">
            <w:pPr>
              <w:jc w:val="center"/>
              <w:rPr>
                <w:bCs/>
                <w:i/>
                <w:sz w:val="22"/>
                <w:szCs w:val="22"/>
                <w:highlight w:val="magenta"/>
                <w:lang w:val="en-US"/>
              </w:rPr>
            </w:pPr>
            <w:r>
              <w:rPr>
                <w:i/>
                <w:iCs/>
                <w:color w:val="000000"/>
              </w:rPr>
              <w:t>15 takime të realizuara me bizneset</w:t>
            </w:r>
          </w:p>
        </w:tc>
        <w:tc>
          <w:tcPr>
            <w:tcW w:w="2067" w:type="dxa"/>
            <w:gridSpan w:val="2"/>
            <w:shd w:val="clear" w:color="auto" w:fill="auto"/>
          </w:tcPr>
          <w:p w:rsidR="000179B8" w:rsidRPr="0005701D" w:rsidRDefault="000179B8" w:rsidP="000179B8">
            <w:pPr>
              <w:jc w:val="both"/>
              <w:rPr>
                <w:b/>
                <w:i/>
                <w:iCs/>
                <w:sz w:val="22"/>
                <w:szCs w:val="22"/>
              </w:rPr>
            </w:pPr>
            <w:r>
              <w:rPr>
                <w:i/>
                <w:iCs/>
                <w:color w:val="000000"/>
              </w:rPr>
              <w:t xml:space="preserve">MFE </w:t>
            </w:r>
          </w:p>
        </w:tc>
        <w:tc>
          <w:tcPr>
            <w:tcW w:w="2520" w:type="dxa"/>
            <w:gridSpan w:val="2"/>
          </w:tcPr>
          <w:p w:rsidR="000179B8" w:rsidRPr="0005701D" w:rsidRDefault="000179B8" w:rsidP="000179B8">
            <w:pPr>
              <w:jc w:val="center"/>
              <w:rPr>
                <w:i/>
                <w:sz w:val="22"/>
                <w:szCs w:val="22"/>
                <w:highlight w:val="magenta"/>
                <w:lang w:val="en-US"/>
              </w:rPr>
            </w:pPr>
            <w:r>
              <w:rPr>
                <w:i/>
                <w:iCs/>
                <w:color w:val="000000"/>
              </w:rPr>
              <w:t>Dhoma e Tregëtisë, KMD, AP, MSHMS, OJF, org. ndërkombëtare</w:t>
            </w:r>
          </w:p>
        </w:tc>
        <w:tc>
          <w:tcPr>
            <w:tcW w:w="1765" w:type="dxa"/>
          </w:tcPr>
          <w:p w:rsidR="000179B8" w:rsidRPr="0005701D" w:rsidRDefault="000179B8" w:rsidP="000179B8">
            <w:pPr>
              <w:jc w:val="center"/>
              <w:rPr>
                <w:b/>
                <w:bCs/>
                <w:i/>
                <w:sz w:val="22"/>
                <w:szCs w:val="22"/>
                <w:lang w:val="en-US"/>
              </w:rPr>
            </w:pPr>
            <w:r>
              <w:rPr>
                <w:i/>
                <w:iCs/>
                <w:color w:val="000000"/>
              </w:rPr>
              <w:t>6M-I- 2022</w:t>
            </w:r>
            <w:r>
              <w:rPr>
                <w:i/>
                <w:iCs/>
                <w:color w:val="000000"/>
              </w:rPr>
              <w:br/>
              <w:t xml:space="preserve">– </w:t>
            </w:r>
            <w:r>
              <w:rPr>
                <w:i/>
                <w:iCs/>
                <w:color w:val="000000"/>
              </w:rPr>
              <w:br/>
              <w:t>6M-II 2022</w:t>
            </w:r>
          </w:p>
        </w:tc>
      </w:tr>
      <w:tr w:rsidR="003A0286" w:rsidRPr="00265B92" w:rsidTr="00BA6EFB">
        <w:tc>
          <w:tcPr>
            <w:tcW w:w="7308" w:type="dxa"/>
            <w:gridSpan w:val="5"/>
            <w:shd w:val="clear" w:color="auto" w:fill="auto"/>
          </w:tcPr>
          <w:p w:rsidR="003A0286" w:rsidRPr="0005701D" w:rsidRDefault="003A0286" w:rsidP="003A0286">
            <w:pPr>
              <w:jc w:val="both"/>
              <w:rPr>
                <w:i/>
                <w:sz w:val="22"/>
                <w:szCs w:val="22"/>
                <w:highlight w:val="magenta"/>
                <w:lang w:val="en-US"/>
              </w:rPr>
            </w:pPr>
            <w:r>
              <w:rPr>
                <w:i/>
                <w:iCs/>
                <w:color w:val="000000"/>
              </w:rPr>
              <w:t>III.2.1.c. Nënshkrimi i Kartës nga bizneset</w:t>
            </w:r>
          </w:p>
        </w:tc>
        <w:tc>
          <w:tcPr>
            <w:tcW w:w="2067" w:type="dxa"/>
          </w:tcPr>
          <w:p w:rsidR="003A0286" w:rsidRPr="0005701D" w:rsidRDefault="003A0286" w:rsidP="003A0286">
            <w:pPr>
              <w:jc w:val="center"/>
              <w:rPr>
                <w:bCs/>
                <w:i/>
                <w:sz w:val="22"/>
                <w:szCs w:val="22"/>
                <w:highlight w:val="magenta"/>
                <w:lang w:val="en-US"/>
              </w:rPr>
            </w:pPr>
            <w:r>
              <w:rPr>
                <w:i/>
                <w:iCs/>
                <w:color w:val="000000"/>
              </w:rPr>
              <w:t xml:space="preserve">Karta e nënshkruar nga 50 biznese </w:t>
            </w:r>
          </w:p>
        </w:tc>
        <w:tc>
          <w:tcPr>
            <w:tcW w:w="2067" w:type="dxa"/>
            <w:gridSpan w:val="2"/>
            <w:shd w:val="clear" w:color="auto" w:fill="auto"/>
          </w:tcPr>
          <w:p w:rsidR="003A0286" w:rsidRPr="0005701D" w:rsidRDefault="003A0286" w:rsidP="003A0286">
            <w:pPr>
              <w:keepNext/>
              <w:keepLines/>
              <w:jc w:val="center"/>
              <w:outlineLvl w:val="0"/>
              <w:rPr>
                <w:b/>
                <w:i/>
                <w:iCs/>
                <w:sz w:val="22"/>
                <w:szCs w:val="22"/>
                <w:highlight w:val="magenta"/>
                <w:lang w:val="en-US"/>
              </w:rPr>
            </w:pPr>
            <w:bookmarkStart w:id="53" w:name="_Toc79509640"/>
            <w:r>
              <w:rPr>
                <w:i/>
                <w:iCs/>
                <w:color w:val="000000"/>
              </w:rPr>
              <w:t>MFE</w:t>
            </w:r>
            <w:bookmarkEnd w:id="53"/>
            <w:r>
              <w:rPr>
                <w:i/>
                <w:iCs/>
                <w:color w:val="000000"/>
              </w:rPr>
              <w:t xml:space="preserve"> </w:t>
            </w:r>
          </w:p>
        </w:tc>
        <w:tc>
          <w:tcPr>
            <w:tcW w:w="2520" w:type="dxa"/>
            <w:gridSpan w:val="2"/>
          </w:tcPr>
          <w:p w:rsidR="003A0286" w:rsidRPr="0005701D" w:rsidRDefault="003A0286" w:rsidP="003A0286">
            <w:pPr>
              <w:jc w:val="center"/>
              <w:rPr>
                <w:i/>
                <w:sz w:val="22"/>
                <w:szCs w:val="22"/>
                <w:highlight w:val="magenta"/>
                <w:lang w:val="en-US"/>
              </w:rPr>
            </w:pPr>
            <w:r>
              <w:rPr>
                <w:i/>
                <w:iCs/>
                <w:color w:val="000000"/>
              </w:rPr>
              <w:t>Dhoma e Tregëtisë, KMD, AP, MSHMS, OJF, org. ndërkombëtare</w:t>
            </w:r>
          </w:p>
        </w:tc>
        <w:tc>
          <w:tcPr>
            <w:tcW w:w="1765" w:type="dxa"/>
          </w:tcPr>
          <w:p w:rsidR="003A0286" w:rsidRPr="0005701D" w:rsidRDefault="003A0286" w:rsidP="003A0286">
            <w:pPr>
              <w:jc w:val="center"/>
              <w:rPr>
                <w:i/>
                <w:sz w:val="22"/>
                <w:szCs w:val="22"/>
                <w:lang w:val="en-US"/>
              </w:rPr>
            </w:pPr>
            <w:r>
              <w:rPr>
                <w:i/>
                <w:iCs/>
                <w:color w:val="000000"/>
              </w:rPr>
              <w:t>6M-I- 2023</w:t>
            </w:r>
            <w:r>
              <w:rPr>
                <w:i/>
                <w:iCs/>
                <w:color w:val="000000"/>
              </w:rPr>
              <w:br/>
              <w:t xml:space="preserve">– </w:t>
            </w:r>
            <w:r>
              <w:rPr>
                <w:i/>
                <w:iCs/>
                <w:color w:val="000000"/>
              </w:rPr>
              <w:br/>
              <w:t>6M-II 2027</w:t>
            </w:r>
          </w:p>
        </w:tc>
      </w:tr>
      <w:tr w:rsidR="003A0286" w:rsidRPr="00265B92" w:rsidTr="00BA6EFB">
        <w:tc>
          <w:tcPr>
            <w:tcW w:w="7308" w:type="dxa"/>
            <w:gridSpan w:val="5"/>
            <w:shd w:val="clear" w:color="auto" w:fill="auto"/>
          </w:tcPr>
          <w:p w:rsidR="003A0286" w:rsidRPr="0005701D" w:rsidRDefault="003A0286" w:rsidP="003A0286">
            <w:pPr>
              <w:jc w:val="both"/>
              <w:rPr>
                <w:rFonts w:eastAsiaTheme="majorEastAsia"/>
                <w:b/>
                <w:bCs/>
                <w:i/>
                <w:color w:val="4F81BD" w:themeColor="accent1"/>
                <w:sz w:val="22"/>
                <w:szCs w:val="22"/>
                <w:highlight w:val="magenta"/>
              </w:rPr>
            </w:pPr>
            <w:r>
              <w:rPr>
                <w:i/>
                <w:iCs/>
                <w:color w:val="000000"/>
              </w:rPr>
              <w:t xml:space="preserve">III.2.1.d. Përgatitja dhe miratimi i një politike kundër diskriminimit të personave LGBTI+ në ambjentet e punës në institucionet shtetërore qendrore </w:t>
            </w:r>
          </w:p>
        </w:tc>
        <w:tc>
          <w:tcPr>
            <w:tcW w:w="2067" w:type="dxa"/>
          </w:tcPr>
          <w:p w:rsidR="003A0286" w:rsidRPr="0005701D" w:rsidRDefault="003A0286" w:rsidP="003A0286">
            <w:pPr>
              <w:jc w:val="center"/>
              <w:rPr>
                <w:bCs/>
                <w:i/>
                <w:sz w:val="22"/>
                <w:szCs w:val="22"/>
                <w:highlight w:val="magenta"/>
                <w:lang w:val="en-US"/>
              </w:rPr>
            </w:pPr>
            <w:r>
              <w:rPr>
                <w:i/>
                <w:iCs/>
                <w:color w:val="000000"/>
              </w:rPr>
              <w:t>Politika kundër diskriminimit të LGBTI+ e miratuar</w:t>
            </w:r>
          </w:p>
        </w:tc>
        <w:tc>
          <w:tcPr>
            <w:tcW w:w="2067" w:type="dxa"/>
            <w:gridSpan w:val="2"/>
            <w:shd w:val="clear" w:color="auto" w:fill="auto"/>
          </w:tcPr>
          <w:p w:rsidR="003A0286" w:rsidRPr="0005701D" w:rsidRDefault="003A0286" w:rsidP="003A0286">
            <w:pPr>
              <w:jc w:val="center"/>
              <w:rPr>
                <w:b/>
                <w:i/>
                <w:sz w:val="22"/>
                <w:szCs w:val="22"/>
                <w:highlight w:val="magenta"/>
              </w:rPr>
            </w:pPr>
            <w:r>
              <w:rPr>
                <w:i/>
                <w:iCs/>
                <w:color w:val="000000"/>
              </w:rPr>
              <w:t>Ministritë e linjës</w:t>
            </w:r>
          </w:p>
        </w:tc>
        <w:tc>
          <w:tcPr>
            <w:tcW w:w="2520" w:type="dxa"/>
            <w:gridSpan w:val="2"/>
          </w:tcPr>
          <w:p w:rsidR="003A0286" w:rsidRPr="0005701D" w:rsidRDefault="003A0286" w:rsidP="003A0286">
            <w:pPr>
              <w:jc w:val="center"/>
              <w:rPr>
                <w:i/>
                <w:sz w:val="22"/>
                <w:szCs w:val="22"/>
                <w:highlight w:val="magenta"/>
                <w:lang w:val="en-US"/>
              </w:rPr>
            </w:pPr>
            <w:r>
              <w:rPr>
                <w:i/>
                <w:iCs/>
                <w:color w:val="000000"/>
              </w:rPr>
              <w:t>KMD, AP, OJF, Org. ndërkombëtare</w:t>
            </w:r>
          </w:p>
        </w:tc>
        <w:tc>
          <w:tcPr>
            <w:tcW w:w="1765" w:type="dxa"/>
          </w:tcPr>
          <w:p w:rsidR="003A0286" w:rsidRPr="0005701D" w:rsidRDefault="003A0286" w:rsidP="003A0286">
            <w:pPr>
              <w:jc w:val="center"/>
              <w:rPr>
                <w:i/>
                <w:sz w:val="22"/>
                <w:szCs w:val="22"/>
                <w:highlight w:val="magenta"/>
              </w:rPr>
            </w:pPr>
            <w:r>
              <w:rPr>
                <w:i/>
                <w:iCs/>
                <w:color w:val="000000"/>
              </w:rPr>
              <w:t>6M-I- 2022</w:t>
            </w:r>
            <w:r>
              <w:rPr>
                <w:i/>
                <w:iCs/>
                <w:color w:val="000000"/>
              </w:rPr>
              <w:br/>
              <w:t xml:space="preserve">– </w:t>
            </w:r>
            <w:r>
              <w:rPr>
                <w:i/>
                <w:iCs/>
                <w:color w:val="000000"/>
              </w:rPr>
              <w:br/>
              <w:t>6M-II 2027</w:t>
            </w:r>
          </w:p>
        </w:tc>
      </w:tr>
      <w:tr w:rsidR="003A0286" w:rsidRPr="00265B92" w:rsidTr="00BA6EFB">
        <w:tc>
          <w:tcPr>
            <w:tcW w:w="7308" w:type="dxa"/>
            <w:gridSpan w:val="5"/>
            <w:shd w:val="clear" w:color="auto" w:fill="auto"/>
          </w:tcPr>
          <w:p w:rsidR="003A0286" w:rsidRPr="0005701D" w:rsidRDefault="003A0286" w:rsidP="003A0286">
            <w:pPr>
              <w:jc w:val="both"/>
              <w:rPr>
                <w:i/>
                <w:sz w:val="22"/>
                <w:szCs w:val="22"/>
                <w:lang w:val="en-US"/>
              </w:rPr>
            </w:pPr>
            <w:r>
              <w:rPr>
                <w:i/>
                <w:iCs/>
                <w:color w:val="000000"/>
              </w:rPr>
              <w:t>III.2.1.e.  Përgatitja dhe miratimi i një politike kundër diskriminimit të personave LGBTI+ në ambjentet e punës në institucionet shtetërore vendore</w:t>
            </w:r>
          </w:p>
        </w:tc>
        <w:tc>
          <w:tcPr>
            <w:tcW w:w="2067" w:type="dxa"/>
          </w:tcPr>
          <w:p w:rsidR="003A0286" w:rsidRPr="0005701D" w:rsidRDefault="003A0286" w:rsidP="003A0286">
            <w:pPr>
              <w:jc w:val="center"/>
              <w:rPr>
                <w:bCs/>
                <w:i/>
                <w:sz w:val="22"/>
                <w:szCs w:val="22"/>
                <w:lang w:val="en-US"/>
              </w:rPr>
            </w:pPr>
            <w:r>
              <w:rPr>
                <w:i/>
                <w:iCs/>
                <w:color w:val="000000"/>
              </w:rPr>
              <w:t>Politika kundër diskriminimit të LGBTI+ e miratuar</w:t>
            </w:r>
          </w:p>
        </w:tc>
        <w:tc>
          <w:tcPr>
            <w:tcW w:w="2067" w:type="dxa"/>
            <w:gridSpan w:val="2"/>
            <w:shd w:val="clear" w:color="auto" w:fill="auto"/>
          </w:tcPr>
          <w:p w:rsidR="003A0286" w:rsidRPr="0005701D" w:rsidRDefault="003A0286" w:rsidP="003A0286">
            <w:pPr>
              <w:jc w:val="center"/>
              <w:rPr>
                <w:b/>
                <w:i/>
                <w:sz w:val="22"/>
                <w:szCs w:val="22"/>
                <w:lang w:val="en-US"/>
              </w:rPr>
            </w:pPr>
            <w:r>
              <w:rPr>
                <w:b/>
                <w:bCs/>
                <w:i/>
                <w:iCs/>
                <w:color w:val="000000"/>
              </w:rPr>
              <w:t>NJVV</w:t>
            </w:r>
          </w:p>
        </w:tc>
        <w:tc>
          <w:tcPr>
            <w:tcW w:w="2520" w:type="dxa"/>
            <w:gridSpan w:val="2"/>
          </w:tcPr>
          <w:p w:rsidR="003A0286" w:rsidRPr="0005701D" w:rsidRDefault="003A0286" w:rsidP="003A0286">
            <w:pPr>
              <w:jc w:val="center"/>
              <w:rPr>
                <w:bCs/>
                <w:iCs/>
                <w:sz w:val="22"/>
                <w:szCs w:val="22"/>
                <w:highlight w:val="magenta"/>
                <w:lang w:val="en-US"/>
              </w:rPr>
            </w:pPr>
            <w:r>
              <w:rPr>
                <w:i/>
                <w:iCs/>
                <w:color w:val="000000"/>
              </w:rPr>
              <w:t>KMD, AP, OJF, Org. ndërkombëtare</w:t>
            </w:r>
          </w:p>
        </w:tc>
        <w:tc>
          <w:tcPr>
            <w:tcW w:w="1765" w:type="dxa"/>
          </w:tcPr>
          <w:p w:rsidR="003A0286" w:rsidRPr="0005701D" w:rsidRDefault="003A0286" w:rsidP="003A0286">
            <w:pPr>
              <w:jc w:val="center"/>
              <w:rPr>
                <w:i/>
                <w:iCs/>
                <w:sz w:val="22"/>
                <w:szCs w:val="22"/>
                <w:lang w:val="en-US"/>
              </w:rPr>
            </w:pPr>
            <w:r>
              <w:rPr>
                <w:i/>
                <w:iCs/>
                <w:color w:val="000000"/>
              </w:rPr>
              <w:t>6M-I- 2022</w:t>
            </w:r>
            <w:r>
              <w:rPr>
                <w:i/>
                <w:iCs/>
                <w:color w:val="000000"/>
              </w:rPr>
              <w:br/>
              <w:t xml:space="preserve">– </w:t>
            </w:r>
            <w:r>
              <w:rPr>
                <w:i/>
                <w:iCs/>
                <w:color w:val="000000"/>
              </w:rPr>
              <w:br/>
              <w:t>6M-II 2027</w:t>
            </w:r>
          </w:p>
        </w:tc>
      </w:tr>
      <w:bookmarkEnd w:id="48"/>
    </w:tbl>
    <w:p w:rsidR="006F7239" w:rsidRDefault="006F7239" w:rsidP="00BF02E2">
      <w:pPr>
        <w:spacing w:line="276" w:lineRule="auto"/>
        <w:rPr>
          <w:highlight w:val="magenta"/>
        </w:rPr>
      </w:pPr>
    </w:p>
    <w:p w:rsidR="0006615C" w:rsidRDefault="0006615C" w:rsidP="00BF02E2">
      <w:pPr>
        <w:spacing w:line="276" w:lineRule="auto"/>
        <w:rPr>
          <w:highlight w:val="magenta"/>
        </w:rPr>
      </w:pPr>
    </w:p>
    <w:p w:rsidR="00006118" w:rsidRPr="007746E1" w:rsidRDefault="00006118" w:rsidP="00BF02E2">
      <w:pPr>
        <w:spacing w:line="276" w:lineRule="auto"/>
        <w:rPr>
          <w:highlight w:val="magenta"/>
        </w:rPr>
      </w:pPr>
    </w:p>
    <w:p w:rsidR="008420F7" w:rsidRDefault="008420F7" w:rsidP="008420F7"/>
    <w:p w:rsidR="008420F7" w:rsidRPr="001A79E3" w:rsidRDefault="008420F7" w:rsidP="001A79E3">
      <w:pPr>
        <w:pStyle w:val="Heading1"/>
        <w:shd w:val="clear" w:color="auto" w:fill="99FFCC"/>
        <w:spacing w:before="0" w:after="0" w:line="276" w:lineRule="auto"/>
        <w:rPr>
          <w:rFonts w:ascii="Times New Roman" w:hAnsi="Times New Roman"/>
          <w:color w:val="FF00FF"/>
          <w:sz w:val="24"/>
          <w:szCs w:val="24"/>
        </w:rPr>
      </w:pPr>
      <w:bookmarkStart w:id="54" w:name="_Toc79509641"/>
      <w:r w:rsidRPr="001A79E3">
        <w:rPr>
          <w:rFonts w:ascii="Times New Roman" w:hAnsi="Times New Roman"/>
          <w:color w:val="FF00FF"/>
          <w:sz w:val="24"/>
          <w:szCs w:val="24"/>
        </w:rPr>
        <w:lastRenderedPageBreak/>
        <w:t>ANEKS 5. PËRKUFIZIMET</w:t>
      </w:r>
      <w:bookmarkEnd w:id="54"/>
    </w:p>
    <w:p w:rsidR="009D31A8" w:rsidRDefault="009D31A8" w:rsidP="009D31A8"/>
    <w:p w:rsidR="009D31A8" w:rsidRPr="008B434D" w:rsidRDefault="009D31A8" w:rsidP="008B434D"/>
    <w:p w:rsidR="008627AB" w:rsidRPr="002A58FD" w:rsidRDefault="008627AB" w:rsidP="008627AB"/>
    <w:tbl>
      <w:tblPr>
        <w:tblStyle w:val="GridTable1LightAccent3"/>
        <w:tblW w:w="13590" w:type="dxa"/>
        <w:tblLook w:val="04A0"/>
      </w:tblPr>
      <w:tblGrid>
        <w:gridCol w:w="3083"/>
        <w:gridCol w:w="10507"/>
      </w:tblGrid>
      <w:tr w:rsidR="008627AB" w:rsidRPr="002A58FD" w:rsidTr="001A79E3">
        <w:trPr>
          <w:cnfStyle w:val="100000000000"/>
          <w:trHeight w:val="370"/>
        </w:trPr>
        <w:tc>
          <w:tcPr>
            <w:cnfStyle w:val="001000000000"/>
            <w:tcW w:w="3083" w:type="dxa"/>
          </w:tcPr>
          <w:p w:rsidR="008627AB" w:rsidRPr="001A79E3" w:rsidRDefault="008627AB">
            <w:pPr>
              <w:ind w:left="21"/>
              <w:jc w:val="center"/>
              <w:rPr>
                <w:color w:val="FF00FF"/>
              </w:rPr>
            </w:pPr>
            <w:r w:rsidRPr="001A79E3">
              <w:rPr>
                <w:color w:val="FF00FF"/>
              </w:rPr>
              <w:t>Termi</w:t>
            </w:r>
          </w:p>
        </w:tc>
        <w:tc>
          <w:tcPr>
            <w:tcW w:w="10507" w:type="dxa"/>
          </w:tcPr>
          <w:p w:rsidR="008627AB" w:rsidRPr="001A79E3" w:rsidRDefault="008627AB" w:rsidP="008B434D">
            <w:pPr>
              <w:tabs>
                <w:tab w:val="right" w:pos="6403"/>
              </w:tabs>
              <w:jc w:val="center"/>
              <w:cnfStyle w:val="100000000000"/>
              <w:rPr>
                <w:color w:val="FF00FF"/>
              </w:rPr>
            </w:pPr>
            <w:r w:rsidRPr="001A79E3">
              <w:rPr>
                <w:color w:val="FF00FF"/>
              </w:rPr>
              <w:t>Kuptimi</w:t>
            </w:r>
          </w:p>
        </w:tc>
      </w:tr>
      <w:tr w:rsidR="001A79E3" w:rsidRPr="001A79E3" w:rsidTr="001A79E3">
        <w:trPr>
          <w:trHeight w:val="495"/>
        </w:trPr>
        <w:tc>
          <w:tcPr>
            <w:cnfStyle w:val="001000000000"/>
            <w:tcW w:w="3083" w:type="dxa"/>
          </w:tcPr>
          <w:p w:rsidR="00BE4798" w:rsidRPr="001A79E3" w:rsidRDefault="00BE4798">
            <w:pPr>
              <w:ind w:left="16"/>
              <w:jc w:val="center"/>
            </w:pPr>
          </w:p>
          <w:p w:rsidR="00BE4798" w:rsidRPr="001A79E3" w:rsidRDefault="00BE4798">
            <w:pPr>
              <w:ind w:left="16"/>
              <w:jc w:val="center"/>
            </w:pPr>
            <w:r w:rsidRPr="001A79E3">
              <w:t>LGBTI+</w:t>
            </w:r>
          </w:p>
        </w:tc>
        <w:tc>
          <w:tcPr>
            <w:tcW w:w="10507" w:type="dxa"/>
          </w:tcPr>
          <w:p w:rsidR="00BE4798" w:rsidRPr="001A79E3" w:rsidRDefault="00BE4798" w:rsidP="006645FB">
            <w:pPr>
              <w:spacing w:beforeLines="60" w:afterLines="60"/>
              <w:jc w:val="both"/>
              <w:cnfStyle w:val="000000000000"/>
              <w:rPr>
                <w:b/>
                <w:i/>
              </w:rPr>
            </w:pPr>
            <w:r w:rsidRPr="001A79E3">
              <w:t>Akronimi për “lezbike, gej, biseksual, transgjinor, interseks. etj”, të cilat shpjegohen më tej në vijim. Duhet të kemi parasysh që, me kalimin e kohës dhe me zhvillimet që shoqëria dhe gjuha pëson, kjo listë akronimesh është pasuruar dhe zgjeruar.</w:t>
            </w:r>
          </w:p>
        </w:tc>
      </w:tr>
      <w:tr w:rsidR="001A79E3" w:rsidRPr="001A79E3" w:rsidTr="001A79E3">
        <w:trPr>
          <w:trHeight w:val="495"/>
        </w:trPr>
        <w:tc>
          <w:tcPr>
            <w:cnfStyle w:val="001000000000"/>
            <w:tcW w:w="3083" w:type="dxa"/>
          </w:tcPr>
          <w:p w:rsidR="008627AB" w:rsidRPr="001A79E3" w:rsidRDefault="008627AB">
            <w:pPr>
              <w:ind w:left="16"/>
              <w:jc w:val="center"/>
            </w:pPr>
            <w:r w:rsidRPr="001A79E3">
              <w:t>Biseksual</w:t>
            </w:r>
          </w:p>
        </w:tc>
        <w:tc>
          <w:tcPr>
            <w:tcW w:w="10507" w:type="dxa"/>
          </w:tcPr>
          <w:p w:rsidR="008627AB" w:rsidRPr="001A79E3" w:rsidRDefault="00BE4798" w:rsidP="001A79E3">
            <w:pPr>
              <w:ind w:left="10"/>
              <w:jc w:val="both"/>
              <w:cnfStyle w:val="000000000000"/>
            </w:pPr>
            <w:r w:rsidRPr="001A79E3">
              <w:t>Mbiemër mbi orientimin seksual, që përshkruan individët të cilët tërhiqen emocionalisht dhe seksualisht nga të dy sekset. Nuk supozon ose hamendëson jo-monogami. Disa njerëz identifikohen si “bi” në vend të biseksualë.</w:t>
            </w:r>
          </w:p>
        </w:tc>
      </w:tr>
      <w:tr w:rsidR="001A79E3" w:rsidRPr="001A79E3" w:rsidTr="001A79E3">
        <w:trPr>
          <w:trHeight w:val="731"/>
        </w:trPr>
        <w:tc>
          <w:tcPr>
            <w:cnfStyle w:val="001000000000"/>
            <w:tcW w:w="3083" w:type="dxa"/>
          </w:tcPr>
          <w:p w:rsidR="008627AB" w:rsidRPr="001A79E3" w:rsidRDefault="008627AB">
            <w:pPr>
              <w:ind w:left="26"/>
              <w:jc w:val="center"/>
            </w:pPr>
            <w:r w:rsidRPr="001A79E3">
              <w:t>Ge</w:t>
            </w:r>
            <w:r w:rsidR="00BE4798" w:rsidRPr="001A79E3">
              <w:t>j</w:t>
            </w:r>
          </w:p>
        </w:tc>
        <w:tc>
          <w:tcPr>
            <w:tcW w:w="10507" w:type="dxa"/>
          </w:tcPr>
          <w:p w:rsidR="008627AB" w:rsidRPr="001A79E3" w:rsidRDefault="00BE4798" w:rsidP="001A79E3">
            <w:pPr>
              <w:ind w:left="10"/>
              <w:jc w:val="both"/>
              <w:cnfStyle w:val="000000000000"/>
            </w:pPr>
            <w:r w:rsidRPr="001A79E3">
              <w:t>Mbiemër mbi orientimin seksual, që ka zëvendësuar gjerësisht fjalën “homoseksual” dhe përshkruan një burrë ose djalë fizikisht, seksualisht dhe emocionalisht i tërhequr nga një burrë os djalë tjetër.</w:t>
            </w:r>
          </w:p>
        </w:tc>
      </w:tr>
      <w:tr w:rsidR="001A79E3" w:rsidRPr="001A79E3" w:rsidTr="001A79E3">
        <w:trPr>
          <w:trHeight w:val="495"/>
        </w:trPr>
        <w:tc>
          <w:tcPr>
            <w:cnfStyle w:val="001000000000"/>
            <w:tcW w:w="3083" w:type="dxa"/>
          </w:tcPr>
          <w:p w:rsidR="008627AB" w:rsidRPr="001A79E3" w:rsidRDefault="008627AB">
            <w:pPr>
              <w:ind w:left="26" w:right="66" w:hanging="10"/>
              <w:jc w:val="center"/>
            </w:pPr>
            <w:r w:rsidRPr="001A79E3">
              <w:t>Heteroseksuale/i drejtë</w:t>
            </w:r>
          </w:p>
        </w:tc>
        <w:tc>
          <w:tcPr>
            <w:tcW w:w="10507" w:type="dxa"/>
          </w:tcPr>
          <w:p w:rsidR="008627AB" w:rsidRPr="001A79E3" w:rsidRDefault="00844A83" w:rsidP="00BE000A">
            <w:pPr>
              <w:cnfStyle w:val="000000000000"/>
            </w:pPr>
            <w:r w:rsidRPr="001A79E3">
              <w:t>T</w:t>
            </w:r>
            <w:r w:rsidR="008627AB" w:rsidRPr="001A79E3">
              <w:t>erm që përdore</w:t>
            </w:r>
            <w:r w:rsidRPr="001A79E3">
              <w:t>t</w:t>
            </w:r>
            <w:r w:rsidR="008627AB" w:rsidRPr="001A79E3">
              <w:t xml:space="preserve"> për të përshkruar njerëzit që emocionalisht dhe fizikisht tërhiqen nga seksi i kundërt.</w:t>
            </w:r>
          </w:p>
        </w:tc>
      </w:tr>
      <w:tr w:rsidR="001A79E3" w:rsidRPr="001A79E3" w:rsidTr="001A79E3">
        <w:trPr>
          <w:trHeight w:val="490"/>
        </w:trPr>
        <w:tc>
          <w:tcPr>
            <w:cnfStyle w:val="001000000000"/>
            <w:tcW w:w="3083" w:type="dxa"/>
          </w:tcPr>
          <w:p w:rsidR="00844A83" w:rsidRPr="001A79E3" w:rsidRDefault="00844A83" w:rsidP="001A79E3"/>
          <w:p w:rsidR="00844A83" w:rsidRPr="001A79E3" w:rsidRDefault="00844A83">
            <w:pPr>
              <w:ind w:left="16"/>
              <w:jc w:val="center"/>
            </w:pPr>
            <w:r w:rsidRPr="001A79E3">
              <w:t>Heteroseksizëm</w:t>
            </w:r>
          </w:p>
        </w:tc>
        <w:tc>
          <w:tcPr>
            <w:tcW w:w="10507" w:type="dxa"/>
          </w:tcPr>
          <w:p w:rsidR="00844A83" w:rsidRPr="001A79E3" w:rsidRDefault="00844A83" w:rsidP="006645FB">
            <w:pPr>
              <w:spacing w:beforeLines="60" w:afterLines="60"/>
              <w:jc w:val="both"/>
              <w:cnfStyle w:val="000000000000"/>
              <w:rPr>
                <w:rFonts w:eastAsia="Times New Roman"/>
                <w:lang w:eastAsia="en-CA"/>
              </w:rPr>
            </w:pPr>
            <w:r w:rsidRPr="001A79E3">
              <w:rPr>
                <w:rFonts w:eastAsia="Times New Roman"/>
                <w:lang w:eastAsia="en-CA"/>
              </w:rPr>
              <w:t>Qëndrime diskriminuese apo paragjykuese ndaj personave gej apo lesbike bazuar mbi përgjithësimin që heterosekualiteti është orientimi normal seksual</w:t>
            </w:r>
            <w:r w:rsidR="001A79E3">
              <w:rPr>
                <w:rFonts w:eastAsia="Times New Roman"/>
                <w:lang w:eastAsia="en-CA"/>
              </w:rPr>
              <w:t>.</w:t>
            </w:r>
          </w:p>
        </w:tc>
      </w:tr>
      <w:tr w:rsidR="001A79E3" w:rsidRPr="001A79E3" w:rsidTr="001A79E3">
        <w:trPr>
          <w:trHeight w:val="490"/>
        </w:trPr>
        <w:tc>
          <w:tcPr>
            <w:cnfStyle w:val="001000000000"/>
            <w:tcW w:w="3083" w:type="dxa"/>
          </w:tcPr>
          <w:p w:rsidR="008627AB" w:rsidRPr="001A79E3" w:rsidRDefault="008627AB">
            <w:pPr>
              <w:ind w:left="16"/>
              <w:jc w:val="center"/>
            </w:pPr>
            <w:r w:rsidRPr="001A79E3">
              <w:t>Lezbike</w:t>
            </w:r>
          </w:p>
        </w:tc>
        <w:tc>
          <w:tcPr>
            <w:tcW w:w="10507" w:type="dxa"/>
          </w:tcPr>
          <w:p w:rsidR="008627AB" w:rsidRPr="001A79E3" w:rsidRDefault="00BE4798" w:rsidP="001A79E3">
            <w:pPr>
              <w:ind w:left="15" w:hanging="5"/>
              <w:jc w:val="both"/>
              <w:cnfStyle w:val="000000000000"/>
            </w:pPr>
            <w:r w:rsidRPr="001A79E3">
              <w:t>Mbiemër mbi orientimin seksual, që përshkruan një grua ose vajzë e cila tërhiqet emocionalisht, fizikisht dhe seksualisht nga një grua ose vajzë tjetër</w:t>
            </w:r>
          </w:p>
        </w:tc>
      </w:tr>
      <w:tr w:rsidR="001A79E3" w:rsidRPr="001A79E3" w:rsidTr="001A79E3">
        <w:trPr>
          <w:trHeight w:val="847"/>
        </w:trPr>
        <w:tc>
          <w:tcPr>
            <w:cnfStyle w:val="001000000000"/>
            <w:tcW w:w="3083" w:type="dxa"/>
          </w:tcPr>
          <w:p w:rsidR="008627AB" w:rsidRPr="001A79E3" w:rsidRDefault="008627AB">
            <w:pPr>
              <w:ind w:left="26" w:hanging="10"/>
              <w:jc w:val="center"/>
            </w:pPr>
            <w:r w:rsidRPr="001A79E3">
              <w:t>Personat transgjinorë ose njerëzit trans</w:t>
            </w:r>
          </w:p>
        </w:tc>
        <w:tc>
          <w:tcPr>
            <w:tcW w:w="10507" w:type="dxa"/>
          </w:tcPr>
          <w:p w:rsidR="008627AB" w:rsidRPr="001A79E3" w:rsidRDefault="00BE4798" w:rsidP="00BE000A">
            <w:pPr>
              <w:ind w:left="10" w:right="77" w:firstLine="10"/>
              <w:jc w:val="both"/>
              <w:cnfStyle w:val="000000000000"/>
            </w:pPr>
            <w:r w:rsidRPr="001A79E3">
              <w:t xml:space="preserve">Mbiemër që përshkruan një person identiteti gjinor dhe seksi i caktuar në lindje i të cilit, nuk korrespondojnë bazuar në pritshmëritë tradicionale. Për shembull, një person i caktuar seks femër në lindje i cili identifikohet si djalë/burrë, ose një person i caktuar seksi mashkull në lindje që identifikohet si vajzë/grua. Transgjinorët mund të përfshijnë edhe njerëz me identitete gjinore jashtë strukturës binare të gjinisë vajzë / grua dhe djalë / burrë. Pra termi transgjinor përdoret si një term ombrellë për personat që e ndjejnë ose e shprehin përkatësinë gjinore të tyre ndryshe nga pritshmëritë e shumicës që e bazojnë në seksin e tyre biologjik. Ky grupim mund të përfshijë edhe personat </w:t>
            </w:r>
            <w:r w:rsidRPr="001A79E3">
              <w:rPr>
                <w:b/>
                <w:i/>
              </w:rPr>
              <w:t>transeksualë</w:t>
            </w:r>
            <w:r w:rsidRPr="001A79E3">
              <w:t xml:space="preserve"> (një term i përdorur ndonjëherë në literaturën mjekësore ose nga disa persona transgjinorë për të përshkruar personat të cilët kanë kaluar nëpër procesin e trajtimeve mjekësore përmes marrjes së hormoneve apo ndërhyrjeve kirurgjikale për të njohur, pranuar dhe reflektuar siç e ndiejnë identitetin e tyre gjinor),  ose dhe për personat të cilët </w:t>
            </w:r>
            <w:r w:rsidRPr="001A79E3">
              <w:rPr>
                <w:b/>
                <w:i/>
              </w:rPr>
              <w:t>vishen ‘ndryshe’</w:t>
            </w:r>
            <w:r w:rsidRPr="001A79E3">
              <w:t xml:space="preserve"> (njerëz që vishen me veshje stereotipike të seksit tjetër, por të cilët nuk kanë ndërmend të ndryshojnë përkatësinë gjinore të tyre nga pritshëmritë tradicionale të lidhura me seksin e caktuar që në lindje.</w:t>
            </w:r>
          </w:p>
        </w:tc>
      </w:tr>
      <w:tr w:rsidR="001A79E3" w:rsidRPr="001A79E3" w:rsidTr="001A79E3">
        <w:trPr>
          <w:trHeight w:val="2429"/>
        </w:trPr>
        <w:tc>
          <w:tcPr>
            <w:cnfStyle w:val="001000000000"/>
            <w:tcW w:w="3083" w:type="dxa"/>
          </w:tcPr>
          <w:p w:rsidR="008627AB" w:rsidRPr="001A79E3" w:rsidRDefault="008627AB">
            <w:pPr>
              <w:ind w:left="31"/>
              <w:jc w:val="center"/>
            </w:pPr>
            <w:r w:rsidRPr="001A79E3">
              <w:lastRenderedPageBreak/>
              <w:t>Seksi biologjik</w:t>
            </w:r>
          </w:p>
        </w:tc>
        <w:tc>
          <w:tcPr>
            <w:tcW w:w="10507" w:type="dxa"/>
          </w:tcPr>
          <w:p w:rsidR="008627AB" w:rsidRPr="001A79E3" w:rsidRDefault="008627AB" w:rsidP="001A79E3">
            <w:pPr>
              <w:spacing w:after="34" w:line="243" w:lineRule="auto"/>
              <w:ind w:left="10" w:right="91"/>
              <w:jc w:val="both"/>
              <w:cnfStyle w:val="000000000000"/>
            </w:pPr>
            <w:r w:rsidRPr="001A79E3">
              <w:t>Përfshin të gjitha aspektet e strukturës biologjike të tij të lidhur me gjininë: jo vetëm organet gjenitale, por edhe sistemin e brendshëm riprodhues, kromozomet dhe karakteristikat dytësore seksuale të tilla si gjinjtë, qimet në fytyrë apo në trup, zërin dhe formën trupore. Seksi biologjik i shumicës së njerëzve është qartësisht dhe në mënyrë konsistente femër apo mashkull.</w:t>
            </w:r>
          </w:p>
          <w:p w:rsidR="008627AB" w:rsidRPr="001A79E3" w:rsidRDefault="008627AB" w:rsidP="001A79E3">
            <w:pPr>
              <w:ind w:right="72"/>
              <w:cnfStyle w:val="000000000000"/>
            </w:pPr>
            <w:r w:rsidRPr="001A79E3">
              <w:t>Megjithatë, një numër i vogël, por i rëndësishëm, njerëzish kanë trupa, të cilat nuk janë plotësisht mashkull apo femër. Njerëzit e lindur me këto lloj variacionesh quhen njerëz me seks të ndërmjetëm. Një person mund të ketë edhe një seks biologjik, i cili nuk është plotësisht i qartë si mashkull apo femër nëqoftëse i është nënshtruar një ndërhyrjeje hormonale apo kirurgjikale si pjesë e një procesi të ricaktimit të gjinisë.</w:t>
            </w:r>
          </w:p>
        </w:tc>
      </w:tr>
      <w:tr w:rsidR="001A79E3" w:rsidRPr="001A79E3" w:rsidTr="001A79E3">
        <w:trPr>
          <w:trHeight w:val="863"/>
        </w:trPr>
        <w:tc>
          <w:tcPr>
            <w:cnfStyle w:val="001000000000"/>
            <w:tcW w:w="3083" w:type="dxa"/>
          </w:tcPr>
          <w:p w:rsidR="008627AB" w:rsidRPr="001A79E3" w:rsidRDefault="00844A83">
            <w:pPr>
              <w:ind w:left="31"/>
              <w:jc w:val="center"/>
            </w:pPr>
            <w:r w:rsidRPr="001A79E3">
              <w:t>Misgendering (keqpërcaktim i përkatësisë gjinore):</w:t>
            </w:r>
          </w:p>
        </w:tc>
        <w:tc>
          <w:tcPr>
            <w:tcW w:w="10507" w:type="dxa"/>
          </w:tcPr>
          <w:p w:rsidR="008627AB" w:rsidRPr="001A79E3" w:rsidRDefault="001A79E3" w:rsidP="001A79E3">
            <w:pPr>
              <w:spacing w:after="34" w:line="243" w:lineRule="auto"/>
              <w:ind w:left="10" w:right="91"/>
              <w:cnfStyle w:val="000000000000"/>
            </w:pPr>
            <w:r>
              <w:rPr>
                <w:rFonts w:eastAsia="Times New Roman"/>
                <w:lang w:eastAsia="en-CA"/>
              </w:rPr>
              <w:t>S</w:t>
            </w:r>
            <w:r w:rsidR="00844A83" w:rsidRPr="001A79E3">
              <w:rPr>
                <w:rFonts w:eastAsia="Times New Roman"/>
                <w:lang w:eastAsia="en-CA"/>
              </w:rPr>
              <w:t>ituata kur një ofrues shërbimi aludon përkatësinë gjinore të gabuar për një person, me apo pa dashje</w:t>
            </w:r>
            <w:r w:rsidR="008627AB" w:rsidRPr="001A79E3">
              <w:t>.</w:t>
            </w:r>
          </w:p>
        </w:tc>
      </w:tr>
      <w:tr w:rsidR="001A79E3" w:rsidRPr="001A79E3" w:rsidTr="001A79E3">
        <w:trPr>
          <w:trHeight w:val="4109"/>
        </w:trPr>
        <w:tc>
          <w:tcPr>
            <w:cnfStyle w:val="001000000000"/>
            <w:tcW w:w="3083" w:type="dxa"/>
          </w:tcPr>
          <w:p w:rsidR="001A79E3" w:rsidRDefault="001A79E3">
            <w:pPr>
              <w:ind w:left="21"/>
              <w:jc w:val="center"/>
            </w:pPr>
          </w:p>
          <w:p w:rsidR="008627AB" w:rsidRPr="001A79E3" w:rsidRDefault="00844A83">
            <w:pPr>
              <w:ind w:left="21"/>
              <w:jc w:val="center"/>
            </w:pPr>
            <w:r w:rsidRPr="001A79E3">
              <w:t>Nd</w:t>
            </w:r>
            <w:r w:rsidR="008551B5" w:rsidRPr="001A79E3">
              <w:t>ë</w:t>
            </w:r>
            <w:r w:rsidRPr="001A79E3">
              <w:t>rseksionaliteti</w:t>
            </w:r>
          </w:p>
        </w:tc>
        <w:tc>
          <w:tcPr>
            <w:tcW w:w="10507" w:type="dxa"/>
          </w:tcPr>
          <w:p w:rsidR="008627AB" w:rsidRPr="001A79E3" w:rsidRDefault="00844A83" w:rsidP="001A79E3">
            <w:pPr>
              <w:ind w:left="10" w:right="72"/>
              <w:jc w:val="both"/>
              <w:cnfStyle w:val="000000000000"/>
            </w:pPr>
            <w:r w:rsidRPr="001A79E3">
              <w:rPr>
                <w:rFonts w:eastAsia="Times New Roman"/>
                <w:lang w:eastAsia="en-CA"/>
              </w:rPr>
              <w:t>Ideja që identitetet gjithëpërfshirëse ndikohen dhe formësohen nga ndërlidhja e racës, klasës, etnisë, orientimit seksual, gjinisë, identiteti gjinor, paaftësisë fizike, origjinës kombëtare, fesë, moshës dhe atributeve të tjera shoqërore ose fizike. Ndërveprimi midis kategorizimeve sociale të ndryshme të lidhura me racën, statusin shoqëror, gjininë, orientimin seksual, identitetin gjinor që çojnë në një mbivendosje të mundësive për të përjetuar diskriminim apo për të qënë i dizavantazhuar, për shembull kur një person i përket  etnisë Rome dhe është LGBTI+</w:t>
            </w:r>
          </w:p>
        </w:tc>
      </w:tr>
      <w:tr w:rsidR="001A79E3" w:rsidRPr="001A79E3" w:rsidTr="001A79E3">
        <w:trPr>
          <w:trHeight w:val="1790"/>
        </w:trPr>
        <w:tc>
          <w:tcPr>
            <w:cnfStyle w:val="001000000000"/>
            <w:tcW w:w="3083" w:type="dxa"/>
          </w:tcPr>
          <w:p w:rsidR="008627AB" w:rsidRPr="001A79E3" w:rsidRDefault="008627AB">
            <w:pPr>
              <w:ind w:left="21"/>
              <w:jc w:val="center"/>
            </w:pPr>
            <w:r w:rsidRPr="001A79E3">
              <w:lastRenderedPageBreak/>
              <w:t>Personat ndërseksuale/ Interseks</w:t>
            </w:r>
          </w:p>
        </w:tc>
        <w:tc>
          <w:tcPr>
            <w:tcW w:w="10507" w:type="dxa"/>
          </w:tcPr>
          <w:p w:rsidR="008627AB" w:rsidRPr="001A79E3" w:rsidRDefault="00844A83" w:rsidP="00BE000A">
            <w:pPr>
              <w:spacing w:after="32" w:line="249" w:lineRule="auto"/>
              <w:ind w:left="14" w:right="72"/>
              <w:jc w:val="both"/>
              <w:cnfStyle w:val="000000000000"/>
            </w:pPr>
            <w:r w:rsidRPr="001A79E3">
              <w:t>Term i përgjithshëm që përdoret për kushte të ndryshme kur një person lind me një anatomi të caktuar seksuale dhe të organeve të riprodhimit që nuk përputhet me percaktimin tipik mashkull/femër. Përshkruan një grup të situatave të lindura në të cilat organet riprodhuese, organet gjenitale dhe / ose anatomia tjetër seksuale nuk zhvillohen sipas pritjeve tradicionale për femra ose meshkuj. Intersex gjithashtu mund të përdoret si një term identiteti për dikë me një nga këto situata (komuniteti mjekësor nganjëherë përdor edhe termin “ndryshime të zhvillimit të seksit” në vnd të “interseks”)</w:t>
            </w:r>
          </w:p>
        </w:tc>
      </w:tr>
      <w:tr w:rsidR="001A79E3" w:rsidRPr="001A79E3" w:rsidTr="001A79E3">
        <w:trPr>
          <w:trHeight w:val="1160"/>
        </w:trPr>
        <w:tc>
          <w:tcPr>
            <w:cnfStyle w:val="001000000000"/>
            <w:tcW w:w="3083" w:type="dxa"/>
          </w:tcPr>
          <w:p w:rsidR="008627AB" w:rsidRPr="001A79E3" w:rsidRDefault="008627AB">
            <w:pPr>
              <w:ind w:left="21"/>
              <w:jc w:val="center"/>
            </w:pPr>
            <w:r w:rsidRPr="001A79E3">
              <w:t>Gjinia e përftuar</w:t>
            </w:r>
          </w:p>
        </w:tc>
        <w:tc>
          <w:tcPr>
            <w:tcW w:w="10507" w:type="dxa"/>
          </w:tcPr>
          <w:p w:rsidR="008627AB" w:rsidRPr="001A79E3" w:rsidRDefault="008627AB" w:rsidP="001A79E3">
            <w:pPr>
              <w:spacing w:after="32" w:line="249" w:lineRule="auto"/>
              <w:ind w:left="14" w:right="72"/>
              <w:jc w:val="both"/>
              <w:cnfStyle w:val="000000000000"/>
            </w:pPr>
            <w:r w:rsidRPr="001A79E3">
              <w:t>Është një term i përdorur për të kuptuar rolin gjinor në të cilin ka kaluar një person për ta jetuar jetën dhe i cili përputhet me identitetin gjinor të vetë-perceptuar prej këtij personi. Prandaj, gjinia e përftuar e një gruaje trans, mashkull në femër, është femërore. Gjinia e përftuar e një burri trans, femër në mashkull, është mashkullore.</w:t>
            </w:r>
          </w:p>
        </w:tc>
      </w:tr>
      <w:tr w:rsidR="001A79E3" w:rsidRPr="001A79E3" w:rsidTr="001A79E3">
        <w:trPr>
          <w:trHeight w:val="602"/>
        </w:trPr>
        <w:tc>
          <w:tcPr>
            <w:cnfStyle w:val="001000000000"/>
            <w:tcW w:w="3083" w:type="dxa"/>
          </w:tcPr>
          <w:p w:rsidR="008627AB" w:rsidRPr="001A79E3" w:rsidRDefault="008627AB">
            <w:pPr>
              <w:ind w:left="21"/>
              <w:jc w:val="center"/>
            </w:pPr>
            <w:r w:rsidRPr="001A79E3">
              <w:t>Orientimi gjinor</w:t>
            </w:r>
          </w:p>
        </w:tc>
        <w:tc>
          <w:tcPr>
            <w:tcW w:w="10507" w:type="dxa"/>
          </w:tcPr>
          <w:p w:rsidR="008627AB" w:rsidRPr="001A79E3" w:rsidRDefault="008627AB" w:rsidP="001A79E3">
            <w:pPr>
              <w:spacing w:after="32" w:line="249" w:lineRule="auto"/>
              <w:ind w:left="14" w:right="72"/>
              <w:jc w:val="both"/>
              <w:cnfStyle w:val="000000000000"/>
            </w:pPr>
            <w:r w:rsidRPr="001A79E3">
              <w:t>Përdoret për të përshkruar gjininë (gjinitë) ndaj të cilës (cilave) një person tërhiqet emocionalisht dhe fizikisht. Për shembull, një person që tërhiqet nga seksi i kundërt e përshkruan orientimin gjinor si të drejtë.</w:t>
            </w:r>
          </w:p>
        </w:tc>
      </w:tr>
      <w:tr w:rsidR="001A79E3" w:rsidRPr="001A79E3" w:rsidTr="001A79E3">
        <w:trPr>
          <w:trHeight w:val="980"/>
        </w:trPr>
        <w:tc>
          <w:tcPr>
            <w:cnfStyle w:val="001000000000"/>
            <w:tcW w:w="3083" w:type="dxa"/>
          </w:tcPr>
          <w:p w:rsidR="008627AB" w:rsidRPr="001A79E3" w:rsidRDefault="008627AB">
            <w:pPr>
              <w:ind w:left="21"/>
              <w:jc w:val="center"/>
            </w:pPr>
            <w:r w:rsidRPr="001A79E3">
              <w:t>Paragjykimi</w:t>
            </w:r>
          </w:p>
        </w:tc>
        <w:tc>
          <w:tcPr>
            <w:tcW w:w="10507" w:type="dxa"/>
          </w:tcPr>
          <w:p w:rsidR="008627AB" w:rsidRPr="001A79E3" w:rsidRDefault="008627AB" w:rsidP="001A79E3">
            <w:pPr>
              <w:spacing w:after="32" w:line="249" w:lineRule="auto"/>
              <w:ind w:left="14" w:right="72"/>
              <w:jc w:val="both"/>
              <w:cnfStyle w:val="000000000000"/>
            </w:pPr>
            <w:r w:rsidRPr="001A79E3">
              <w:t>Përshkruan rastet kur njerëzit krijojnë bindjet e tyre për njerëz të tjerë ose një grup njerëzish në baza irracionale, pa i njohur ata, apo pa mësuar rreth tyre më parë. Kjo mund të nënkuptojë që dikush nuk e pëlqen ose urren një grup të tërë njerëzish.</w:t>
            </w:r>
          </w:p>
        </w:tc>
      </w:tr>
      <w:tr w:rsidR="001A79E3" w:rsidRPr="001A79E3" w:rsidTr="001A79E3">
        <w:trPr>
          <w:trHeight w:val="1234"/>
        </w:trPr>
        <w:tc>
          <w:tcPr>
            <w:cnfStyle w:val="001000000000"/>
            <w:tcW w:w="3083" w:type="dxa"/>
          </w:tcPr>
          <w:p w:rsidR="008627AB" w:rsidRPr="001A79E3" w:rsidRDefault="008627AB">
            <w:pPr>
              <w:ind w:left="21"/>
              <w:jc w:val="center"/>
            </w:pPr>
            <w:r w:rsidRPr="001A79E3">
              <w:t>Diskriminimi</w:t>
            </w:r>
          </w:p>
        </w:tc>
        <w:tc>
          <w:tcPr>
            <w:tcW w:w="10507" w:type="dxa"/>
          </w:tcPr>
          <w:p w:rsidR="008627AB" w:rsidRPr="001A79E3" w:rsidRDefault="008627AB" w:rsidP="001A79E3">
            <w:pPr>
              <w:shd w:val="clear" w:color="auto" w:fill="FFFFFF"/>
              <w:jc w:val="both"/>
              <w:cnfStyle w:val="000000000000"/>
              <w:rPr>
                <w:rFonts w:ascii="Arial" w:hAnsi="Arial" w:cs="Arial"/>
                <w:spacing w:val="-2"/>
                <w:sz w:val="15"/>
                <w:szCs w:val="15"/>
              </w:rPr>
            </w:pPr>
            <w:r w:rsidRPr="001A79E3">
              <w:t>Është çdo dallim, përjashtim, kufizim ose preferencë, bazuar në cilido shkak të përmendur në Nenin 1 të Ligjit ‘Për mbrojtjen nga diskriminimi” (</w:t>
            </w:r>
            <w:r w:rsidRPr="001A79E3">
              <w:rPr>
                <w:spacing w:val="-2"/>
              </w:rPr>
              <w:t>në lidhje me racën, etninë, ngjyrën, gjuhën, shtetësinë, bindjet politike, fetare ose filozofike, gjendjen ekonomike, arsimore ose shoqërore, gjininë, identitetin gjinor, orientimin seksual, karakteristikat e seksit, jetesën me HIV/AIDS, shtatzëninë, përkatësinë prindërore, përgjegjësinë prindërore, moshën, gjendjen familjare ose martesore, gjendjen civile, vendbanimin, gjendjen shëndetësore, predispozicionet gjenetike, pamjen e jashtme, aftësinë e kufizuar, përkatësinë në një grup të veçantë, ose me çdo shkak tjetër)</w:t>
            </w:r>
            <w:r w:rsidRPr="001A79E3">
              <w:t>, që ka si qëllim ose pasojë pengesën ose bërjen të pamundur të ushtrimit në të njëjtën mënyrë me të tjerët të të drejtave dhe lirive themelore të njohura nga Kushtetuta e Republikës së Shqipërisë, aktet ndërkombëtare të ratifikuara nga Republika e Shqipërisë, si dhe ligjet në fuqi.</w:t>
            </w:r>
          </w:p>
        </w:tc>
      </w:tr>
      <w:tr w:rsidR="001A79E3" w:rsidRPr="001A79E3" w:rsidTr="001A79E3">
        <w:trPr>
          <w:trHeight w:val="1504"/>
        </w:trPr>
        <w:tc>
          <w:tcPr>
            <w:cnfStyle w:val="001000000000"/>
            <w:tcW w:w="3083" w:type="dxa"/>
          </w:tcPr>
          <w:p w:rsidR="008627AB" w:rsidRPr="001A79E3" w:rsidRDefault="008627AB">
            <w:pPr>
              <w:spacing w:after="7" w:line="264" w:lineRule="auto"/>
              <w:ind w:left="17" w:right="48"/>
              <w:jc w:val="center"/>
            </w:pPr>
            <w:r w:rsidRPr="001A79E3">
              <w:t>Diskriminimi kulturor</w:t>
            </w:r>
          </w:p>
          <w:p w:rsidR="008627AB" w:rsidRPr="001A79E3" w:rsidRDefault="008627AB">
            <w:pPr>
              <w:spacing w:after="2"/>
              <w:ind w:left="17"/>
              <w:jc w:val="center"/>
            </w:pPr>
            <w:r w:rsidRPr="001A79E3">
              <w:t>Heterocentrizmi &amp;</w:t>
            </w:r>
          </w:p>
          <w:p w:rsidR="008627AB" w:rsidRPr="001A79E3" w:rsidRDefault="008627AB">
            <w:pPr>
              <w:ind w:left="21"/>
              <w:jc w:val="center"/>
            </w:pPr>
            <w:r w:rsidRPr="001A79E3">
              <w:t>Heteronormativizmi</w:t>
            </w:r>
          </w:p>
        </w:tc>
        <w:tc>
          <w:tcPr>
            <w:tcW w:w="10507" w:type="dxa"/>
          </w:tcPr>
          <w:p w:rsidR="008627AB" w:rsidRPr="001A79E3" w:rsidRDefault="008627AB" w:rsidP="001A79E3">
            <w:pPr>
              <w:spacing w:after="32" w:line="249" w:lineRule="auto"/>
              <w:ind w:left="14" w:right="72"/>
              <w:jc w:val="both"/>
              <w:cnfStyle w:val="000000000000"/>
            </w:pPr>
            <w:r w:rsidRPr="001A79E3">
              <w:t>Heterocentrizmi dhe heteronomativizmi janë terma që përshkruajnë gamën e besimeve kulturore, supozimeve dhe mënyrave të zakonshme të të menduarit dhe vepruarit, që i zhvlerësojnë dhe marxhinalizojnë personat LGBTIQ dhe përvojat e tyre. Heterocentrizmi mund të përfshijë: supozimin se të giithë njerëzit janë ose duhet të jenë heteroseksuale: besimin se marrëdhëniet heteroseksuale janë automatikisht superiore dhe më të dëshirueshme se sa marrëdhëniet me persona të të njëjtit seks, si dhe stereotipe dhe mite, të cilat i denigrojnë personat LGBTIQ.</w:t>
            </w:r>
          </w:p>
        </w:tc>
      </w:tr>
      <w:tr w:rsidR="001A79E3" w:rsidRPr="001A79E3" w:rsidTr="001A79E3">
        <w:trPr>
          <w:trHeight w:val="1504"/>
        </w:trPr>
        <w:tc>
          <w:tcPr>
            <w:cnfStyle w:val="001000000000"/>
            <w:tcW w:w="3083" w:type="dxa"/>
          </w:tcPr>
          <w:p w:rsidR="008627AB" w:rsidRPr="001A79E3" w:rsidRDefault="008627AB">
            <w:pPr>
              <w:ind w:left="21"/>
              <w:jc w:val="center"/>
            </w:pPr>
            <w:r w:rsidRPr="001A79E3">
              <w:lastRenderedPageBreak/>
              <w:t>Diskriminimi strukturor Heteroseksizmi</w:t>
            </w:r>
          </w:p>
        </w:tc>
        <w:tc>
          <w:tcPr>
            <w:tcW w:w="10507" w:type="dxa"/>
          </w:tcPr>
          <w:p w:rsidR="008627AB" w:rsidRPr="001A79E3" w:rsidRDefault="008627AB" w:rsidP="001A79E3">
            <w:pPr>
              <w:spacing w:after="32" w:line="249" w:lineRule="auto"/>
              <w:ind w:left="14" w:right="72"/>
              <w:jc w:val="both"/>
              <w:cnfStyle w:val="000000000000"/>
            </w:pPr>
            <w:r w:rsidRPr="001A79E3">
              <w:t>Heteroseksizmi është një sistem diskriminimi i cili u mohon të drejtat dhe liritë personave LGBTIQ dhe që mishëron superioritetin e heteroseksualitetit në ligje dhe politika publike. Kjo mund të përfshijë mosha të pabarabarta pëlqimi ose edhe shpallje të homoseksualitetit si të paligjshëm në disa vende dhe shtete, të drejta të kufizuara ose të mohuara partneriteti për çiftet me të njëjtin seks, dhe ligje që konkretisht i ndalojnë liritë e personave LGBTIQ.</w:t>
            </w:r>
          </w:p>
        </w:tc>
      </w:tr>
      <w:tr w:rsidR="001A79E3" w:rsidRPr="001A79E3" w:rsidTr="001A79E3">
        <w:trPr>
          <w:trHeight w:val="1189"/>
        </w:trPr>
        <w:tc>
          <w:tcPr>
            <w:cnfStyle w:val="001000000000"/>
            <w:tcW w:w="3083" w:type="dxa"/>
          </w:tcPr>
          <w:p w:rsidR="008627AB" w:rsidRPr="001A79E3" w:rsidRDefault="00682CAF">
            <w:pPr>
              <w:ind w:left="21"/>
              <w:jc w:val="center"/>
            </w:pPr>
            <w:r w:rsidRPr="001A79E3">
              <w:t>Diversitet</w:t>
            </w:r>
          </w:p>
        </w:tc>
        <w:tc>
          <w:tcPr>
            <w:tcW w:w="10507" w:type="dxa"/>
          </w:tcPr>
          <w:p w:rsidR="008627AB" w:rsidRPr="001A79E3" w:rsidRDefault="00682CAF" w:rsidP="001A79E3">
            <w:pPr>
              <w:spacing w:after="32" w:line="249" w:lineRule="auto"/>
              <w:ind w:left="14" w:right="72"/>
              <w:jc w:val="both"/>
              <w:cnfStyle w:val="000000000000"/>
            </w:pPr>
            <w:r w:rsidRPr="001A79E3">
              <w:rPr>
                <w:rFonts w:eastAsia="Times New Roman"/>
                <w:lang w:eastAsia="en-CA"/>
              </w:rPr>
              <w:t>Parimi që cilido person është i veçantë dhe pranimi i diferencave në terma të racës, etnicitetit, gjinisë, orientimit seksual, identitetit gjinor, statusit socio-ekonomik, moshës, aftësive fizike, besimeve fetare, ideologjive politike dhe ideologjive të tjera.</w:t>
            </w:r>
          </w:p>
        </w:tc>
      </w:tr>
      <w:tr w:rsidR="001A79E3" w:rsidRPr="001A79E3" w:rsidTr="001A79E3">
        <w:trPr>
          <w:trHeight w:val="881"/>
        </w:trPr>
        <w:tc>
          <w:tcPr>
            <w:cnfStyle w:val="001000000000"/>
            <w:tcW w:w="3083" w:type="dxa"/>
          </w:tcPr>
          <w:p w:rsidR="008627AB" w:rsidRPr="001A79E3" w:rsidRDefault="008627AB">
            <w:pPr>
              <w:ind w:left="21"/>
              <w:jc w:val="center"/>
            </w:pPr>
            <w:r w:rsidRPr="001A79E3">
              <w:t>Queer</w:t>
            </w:r>
          </w:p>
        </w:tc>
        <w:tc>
          <w:tcPr>
            <w:tcW w:w="10507" w:type="dxa"/>
          </w:tcPr>
          <w:p w:rsidR="008627AB" w:rsidRPr="001A79E3" w:rsidRDefault="008627AB" w:rsidP="001A79E3">
            <w:pPr>
              <w:spacing w:after="32" w:line="249" w:lineRule="auto"/>
              <w:ind w:left="14" w:right="72"/>
              <w:jc w:val="both"/>
              <w:cnfStyle w:val="000000000000"/>
            </w:pPr>
            <w:r w:rsidRPr="001A79E3">
              <w:t>Është një fjalë që njerëzit e përdorin për të përshkruar identitetin e tyre gjinor i cili nuk konformohet me standartet sociale dhe normat tradicionale të gjinisë. Queer mund të vetëquhen personat gej, lesbike, biseksual, straight etj.</w:t>
            </w:r>
          </w:p>
        </w:tc>
      </w:tr>
      <w:tr w:rsidR="001A79E3" w:rsidRPr="001A79E3" w:rsidTr="001A79E3">
        <w:trPr>
          <w:trHeight w:val="521"/>
        </w:trPr>
        <w:tc>
          <w:tcPr>
            <w:cnfStyle w:val="001000000000"/>
            <w:tcW w:w="3083" w:type="dxa"/>
          </w:tcPr>
          <w:p w:rsidR="008627AB" w:rsidRPr="001A79E3" w:rsidRDefault="008627AB">
            <w:pPr>
              <w:ind w:left="21"/>
              <w:jc w:val="center"/>
            </w:pPr>
            <w:r w:rsidRPr="001A79E3">
              <w:t>Homofobi</w:t>
            </w:r>
          </w:p>
        </w:tc>
        <w:tc>
          <w:tcPr>
            <w:tcW w:w="10507" w:type="dxa"/>
          </w:tcPr>
          <w:p w:rsidR="008627AB" w:rsidRPr="001A79E3" w:rsidRDefault="008627AB" w:rsidP="001A79E3">
            <w:pPr>
              <w:spacing w:after="32" w:line="249" w:lineRule="auto"/>
              <w:ind w:left="14" w:right="72"/>
              <w:jc w:val="both"/>
              <w:cnfStyle w:val="000000000000"/>
            </w:pPr>
            <w:r w:rsidRPr="001A79E3">
              <w:t>Ky term i referohet frikës, zemërimit, urrejtjes, mostolerimit dhe mospranimit të personave LGBTI</w:t>
            </w:r>
            <w:r w:rsidR="00844A83" w:rsidRPr="001A79E3">
              <w:t>+</w:t>
            </w:r>
            <w:r w:rsidRPr="001A79E3">
              <w:t>.</w:t>
            </w:r>
          </w:p>
        </w:tc>
      </w:tr>
      <w:tr w:rsidR="001A79E3" w:rsidRPr="001A79E3" w:rsidTr="001A79E3">
        <w:trPr>
          <w:trHeight w:val="1250"/>
        </w:trPr>
        <w:tc>
          <w:tcPr>
            <w:cnfStyle w:val="001000000000"/>
            <w:tcW w:w="3083" w:type="dxa"/>
          </w:tcPr>
          <w:p w:rsidR="008627AB" w:rsidRPr="001A79E3" w:rsidRDefault="008627AB">
            <w:pPr>
              <w:ind w:left="21"/>
              <w:jc w:val="center"/>
            </w:pPr>
            <w:r w:rsidRPr="001A79E3">
              <w:t>Homofobi e brendësuar (interiorizuar</w:t>
            </w:r>
            <w:r w:rsidR="004A2C73" w:rsidRPr="001A79E3">
              <w:t>)</w:t>
            </w:r>
          </w:p>
        </w:tc>
        <w:tc>
          <w:tcPr>
            <w:tcW w:w="10507" w:type="dxa"/>
          </w:tcPr>
          <w:p w:rsidR="008627AB" w:rsidRPr="001A79E3" w:rsidRDefault="008627AB" w:rsidP="001A79E3">
            <w:pPr>
              <w:spacing w:after="32" w:line="249" w:lineRule="auto"/>
              <w:ind w:left="14" w:right="72"/>
              <w:jc w:val="both"/>
              <w:cnfStyle w:val="000000000000"/>
            </w:pPr>
            <w:r w:rsidRPr="001A79E3">
              <w:t>Homofobia e brendësuar dhe shtypja ndodh tek personat homoseksual, lezbike, biseksualë, dhe madje edhe heteroseksualëve, të cilëve i është mësuar se heteroseksualiteti është normë dhe “mënyra e saktë e të qënurit”. Personat LGBTI</w:t>
            </w:r>
            <w:r w:rsidR="00844A83" w:rsidRPr="001A79E3">
              <w:t>+</w:t>
            </w:r>
            <w:r w:rsidRPr="001A79E3">
              <w:t xml:space="preserve"> në disa raste përvetësojnë mesazhet negative që pjesa tjetër e shoqërisë projekton ndaj tyre. Disa persona LGBTI</w:t>
            </w:r>
            <w:r w:rsidR="00844A83" w:rsidRPr="001A79E3">
              <w:t>+</w:t>
            </w:r>
            <w:r w:rsidRPr="001A79E3">
              <w:t xml:space="preserve"> vuajnë nga shqetësime mendore, si rezultat i kësaj.</w:t>
            </w:r>
          </w:p>
        </w:tc>
      </w:tr>
      <w:tr w:rsidR="001A79E3" w:rsidRPr="001A79E3" w:rsidTr="001A79E3">
        <w:trPr>
          <w:trHeight w:val="1504"/>
        </w:trPr>
        <w:tc>
          <w:tcPr>
            <w:cnfStyle w:val="001000000000"/>
            <w:tcW w:w="3083" w:type="dxa"/>
          </w:tcPr>
          <w:p w:rsidR="00682CAF" w:rsidRPr="001A79E3" w:rsidRDefault="00682CAF">
            <w:pPr>
              <w:ind w:left="21"/>
              <w:jc w:val="center"/>
            </w:pPr>
            <w:r w:rsidRPr="001A79E3">
              <w:t>Dalja hapur</w:t>
            </w:r>
            <w:r w:rsidRPr="001A79E3">
              <w:rPr>
                <w:i/>
              </w:rPr>
              <w:t xml:space="preserve"> </w:t>
            </w:r>
            <w:r w:rsidRPr="001A79E3">
              <w:t>(coming out)</w:t>
            </w:r>
          </w:p>
        </w:tc>
        <w:tc>
          <w:tcPr>
            <w:tcW w:w="10507" w:type="dxa"/>
          </w:tcPr>
          <w:p w:rsidR="00682CAF" w:rsidRPr="001A79E3" w:rsidRDefault="00682CAF" w:rsidP="001A79E3">
            <w:pPr>
              <w:spacing w:after="32" w:line="249" w:lineRule="auto"/>
              <w:ind w:left="14" w:right="72"/>
              <w:jc w:val="both"/>
              <w:cnfStyle w:val="000000000000"/>
            </w:pPr>
            <w:r w:rsidRPr="001A79E3">
              <w:t>Procesi i njohjes, ndërgjegjësimit dhe pranimit të orientimit jo-heteroseksual ose identitetit gjinor me veten dhe pastaj ndarja me të tjerët. Dalja hapur zakonisht ndodh me etapa, dhe është një proçes jo linear.</w:t>
            </w:r>
          </w:p>
        </w:tc>
      </w:tr>
      <w:tr w:rsidR="001A79E3" w:rsidRPr="001A79E3" w:rsidTr="001A79E3">
        <w:trPr>
          <w:trHeight w:val="1504"/>
        </w:trPr>
        <w:tc>
          <w:tcPr>
            <w:cnfStyle w:val="001000000000"/>
            <w:tcW w:w="3083" w:type="dxa"/>
          </w:tcPr>
          <w:p w:rsidR="00682CAF" w:rsidRPr="001A79E3" w:rsidRDefault="00682CAF">
            <w:pPr>
              <w:ind w:left="21"/>
              <w:jc w:val="center"/>
            </w:pPr>
            <w:r w:rsidRPr="001A79E3">
              <w:t>SOGIESC</w:t>
            </w:r>
          </w:p>
        </w:tc>
        <w:tc>
          <w:tcPr>
            <w:tcW w:w="10507" w:type="dxa"/>
          </w:tcPr>
          <w:p w:rsidR="00682CAF" w:rsidRPr="001A79E3" w:rsidRDefault="00682CAF" w:rsidP="001A79E3">
            <w:pPr>
              <w:spacing w:after="32" w:line="249" w:lineRule="auto"/>
              <w:ind w:left="14" w:right="72"/>
              <w:jc w:val="both"/>
              <w:cnfStyle w:val="000000000000"/>
            </w:pPr>
            <w:r w:rsidRPr="001A79E3">
              <w:rPr>
                <w:rFonts w:eastAsia="Times New Roman"/>
                <w:lang w:eastAsia="en-CA"/>
              </w:rPr>
              <w:t xml:space="preserve">Një term ombrellë më e gjerë sesa LGBTI+ që nënkupton “Orientimi seksual, Identiteti dhe Shprehja Gjinore, dhe Karakteristikat e Seksit“, të cilat veç shtjellimit të mësipërm, mund të përmblidhen më thjesht si në vijim: ndërsa orientimi seksual është në vetvete një markues që identifikon tërheqjen e qëndrueshme romantike, emocionale dhe seksuale, identiteti gjinor është një koncept i brendshëm për vetveten si mashkull ose si femër, ose për disa individë si një ndërthyrje e të dyjave, ose e asnjërës (pra mënyra si individi e koncepton veten, koncept që mund të jetë i ndryshëm nga gjinia/seksi që e shoqëron në dokumenta ligjorë). Shprehja gjinore nga ana tjetër, është një sjellje e individit për t’u komunikuar jashtë vetes. Eshtë mënyra si individi zgjedh ta bëjë të ditur identitetin e vet, përmes </w:t>
            </w:r>
            <w:r w:rsidRPr="001A79E3">
              <w:rPr>
                <w:rFonts w:eastAsia="Times New Roman"/>
                <w:lang w:eastAsia="en-CA"/>
              </w:rPr>
              <w:lastRenderedPageBreak/>
              <w:t>sjelljes, veshjes, modelit të flokëve, apo zërit, dhe që mund ose mund të mos përputhet me normat apo sjelljet e përkufizuara sociale që kërkojnë një pozicionim strikt ose mashkullor, ose femëror. Së fundmi, “karakteristikat e seksit” është një togfjalësh që synon të identifikojë personat që lindin me karakteristika primare dhe dytësore seksuale të ndryshme nga ato të femrës apo mashkullit (personat interseks).</w:t>
            </w:r>
          </w:p>
        </w:tc>
      </w:tr>
      <w:tr w:rsidR="001A79E3" w:rsidRPr="001A79E3" w:rsidTr="001A79E3">
        <w:trPr>
          <w:trHeight w:val="1504"/>
        </w:trPr>
        <w:tc>
          <w:tcPr>
            <w:cnfStyle w:val="001000000000"/>
            <w:tcW w:w="3083" w:type="dxa"/>
          </w:tcPr>
          <w:p w:rsidR="00EA2EE6" w:rsidRPr="001A79E3" w:rsidRDefault="00EA2EE6">
            <w:pPr>
              <w:ind w:left="21"/>
              <w:jc w:val="center"/>
            </w:pPr>
            <w:r w:rsidRPr="001A79E3">
              <w:rPr>
                <w:rFonts w:eastAsia="Times New Roman"/>
                <w:lang w:eastAsia="en-CA"/>
              </w:rPr>
              <w:lastRenderedPageBreak/>
              <w:t>Dimensionet e “përkatësisë gjinore”</w:t>
            </w:r>
            <w:r w:rsidRPr="001A79E3">
              <w:rPr>
                <w:rStyle w:val="FootnoteReference"/>
                <w:rFonts w:eastAsia="Times New Roman"/>
                <w:lang w:eastAsia="en-CA"/>
              </w:rPr>
              <w:footnoteReference w:id="20"/>
            </w:r>
            <w:r w:rsidRPr="001A79E3">
              <w:rPr>
                <w:rFonts w:eastAsia="Times New Roman"/>
                <w:lang w:eastAsia="en-CA"/>
              </w:rPr>
              <w:t>.</w:t>
            </w:r>
          </w:p>
        </w:tc>
        <w:tc>
          <w:tcPr>
            <w:tcW w:w="10507" w:type="dxa"/>
          </w:tcPr>
          <w:p w:rsidR="00EA2EE6" w:rsidRPr="001A79E3" w:rsidRDefault="00EA2EE6" w:rsidP="001A79E3">
            <w:pPr>
              <w:shd w:val="clear" w:color="auto" w:fill="FFFFFF"/>
              <w:jc w:val="both"/>
              <w:cnfStyle w:val="000000000000"/>
              <w:rPr>
                <w:rFonts w:eastAsia="Times New Roman"/>
                <w:lang w:eastAsia="en-CA"/>
              </w:rPr>
            </w:pPr>
            <w:r w:rsidRPr="001A79E3">
              <w:rPr>
                <w:rFonts w:eastAsia="Times New Roman"/>
                <w:lang w:eastAsia="en-CA"/>
              </w:rPr>
              <w:t>Njerëzit kanë tendencë të përdorin termat "seks" dhe "përkatësi gjinore" në mënyrë të njëjtë apo si zëvendësim i njëri-tjetrit. Por, ndërsa janë të lidhur, të dy termat nuk janë ekuivalentë. Në përgjithësi, ne caktojmë seksin e një të porsalinduri.porsalindure si mashkull apo femër, bazuar në organet gjenitale të foshnjës. Pasi caktohet një seks, ne supozojmë përkatësinë gjinore të fëmijës. Për disa njerëz, kjo gjë nuk përbën ndonjë shqetësim apo mendim të mëtejshëm, sepse përkatësia gjinore e tyre përputhet me idetë dhe supozimet e lidhura me seksin e tyre. Sidoqoftë, ndërsa përkatësia gjinore mund të fillojë me caktimin e seksit tonë, në fakt nuk mbaron këtu. Përkatësia gjinore e një personi është ndërlidhja e ndërlikuar midis tre dimensioneve: trupit, identitetit gjinor dhe përkatësisë gjinore sociale.</w:t>
            </w:r>
          </w:p>
        </w:tc>
      </w:tr>
      <w:tr w:rsidR="001A79E3" w:rsidRPr="001A79E3" w:rsidTr="001A79E3">
        <w:trPr>
          <w:trHeight w:val="1504"/>
        </w:trPr>
        <w:tc>
          <w:tcPr>
            <w:cnfStyle w:val="001000000000"/>
            <w:tcW w:w="3083" w:type="dxa"/>
          </w:tcPr>
          <w:p w:rsidR="00EA2EE6" w:rsidRPr="001A79E3" w:rsidRDefault="00EA2EE6">
            <w:pPr>
              <w:ind w:left="21"/>
              <w:jc w:val="center"/>
            </w:pPr>
            <w:r w:rsidRPr="001A79E3">
              <w:t>Trupi</w:t>
            </w:r>
          </w:p>
        </w:tc>
        <w:tc>
          <w:tcPr>
            <w:tcW w:w="10507" w:type="dxa"/>
          </w:tcPr>
          <w:p w:rsidR="00EA2EE6" w:rsidRPr="001A79E3" w:rsidRDefault="00EA2EE6" w:rsidP="001A79E3">
            <w:pPr>
              <w:spacing w:after="32" w:line="249" w:lineRule="auto"/>
              <w:ind w:left="14" w:right="72"/>
              <w:jc w:val="both"/>
              <w:cnfStyle w:val="000000000000"/>
              <w:rPr>
                <w:rFonts w:eastAsia="Times New Roman"/>
                <w:lang w:eastAsia="en-CA"/>
              </w:rPr>
            </w:pPr>
            <w:r w:rsidRPr="001A79E3">
              <w:rPr>
                <w:rFonts w:eastAsia="Times New Roman"/>
                <w:lang w:eastAsia="en-CA"/>
              </w:rPr>
              <w:t>Shumica e shoqërive e shikojnë seksin si një koncept binar, me dy mundësi të fiksuara në mënyrë të ngurtë: mashkull ose femër, bazuar në anatominë dhe funksionet riprodhuese të një personi. Por një pamje binare e seksit nuk arrin të kapë as aspektin biologjik të gjinisë. Ndërsa shpesh na mësojnë se trupat kanë një nga dy format e organeve gjenitale, të cilat klasifikohen si "femra" ose "mashkull", ka tipare të Interseksit që demonstrojnë se seksi ekziston përmes një vazhdimi të mundësive. Ky spektër biologjik në vetvete duhet të jetë i mjaftueshëm për të shpërndarë idenë e thjeshtëzuar se ekzistojnë vetëm dy gjini. Marrëdhënia midis gjinisë së një personi dhe trupit të tij shkon përtej funksioneve riprodhuese të dikujt. Kërkimet në neurologjinë, endokrinologjinë dhe biologjinë qelizore tregojnë për një bazë më të gjerë biologjike për përvojën e një individi mbi përkatësinë gjinore. Në fakt, kërkimet gjithnjë e më shumë tregojnë se truri ynë luan një rol kryesor në mënyrën se përjetojmë përkatësinë gjinore tonë. Vetë trupat gjithashtu janë gjinor në kontekstin e pritjeve kulturore. Mashkullorësia dhe feminiliteti barazohen me atribute të caktuara fizike, duke na etiketuar si pak a shumë një burrë/djalë dhe grua/vajzë bazuar në shkallën në të cilën ato atribute janë të pranishme. Kjo gjini e trupave tanë ndikon në mënyrën se si ndihemi për veten tonë dhe se si të tjerët na perceptojnë dhe bashkëveprojnë me ne.</w:t>
            </w:r>
          </w:p>
        </w:tc>
      </w:tr>
      <w:tr w:rsidR="001A79E3" w:rsidRPr="001A79E3" w:rsidTr="001A79E3">
        <w:trPr>
          <w:trHeight w:val="1504"/>
        </w:trPr>
        <w:tc>
          <w:tcPr>
            <w:cnfStyle w:val="001000000000"/>
            <w:tcW w:w="3083" w:type="dxa"/>
          </w:tcPr>
          <w:p w:rsidR="00EA2EE6" w:rsidRPr="001A79E3" w:rsidRDefault="00EA2EE6">
            <w:pPr>
              <w:ind w:left="21"/>
              <w:jc w:val="center"/>
            </w:pPr>
            <w:r w:rsidRPr="001A79E3">
              <w:lastRenderedPageBreak/>
              <w:t>Identiteti gjinor</w:t>
            </w:r>
          </w:p>
        </w:tc>
        <w:tc>
          <w:tcPr>
            <w:tcW w:w="10507" w:type="dxa"/>
          </w:tcPr>
          <w:p w:rsidR="00EA2EE6" w:rsidRPr="001A79E3" w:rsidRDefault="00EA2EE6" w:rsidP="001A79E3">
            <w:pPr>
              <w:shd w:val="clear" w:color="auto" w:fill="FFFFFF"/>
              <w:jc w:val="both"/>
              <w:cnfStyle w:val="000000000000"/>
              <w:rPr>
                <w:rFonts w:eastAsia="Times New Roman"/>
                <w:lang w:eastAsia="en-CA"/>
              </w:rPr>
            </w:pPr>
            <w:r w:rsidRPr="001A79E3">
              <w:rPr>
                <w:rFonts w:eastAsia="Times New Roman"/>
                <w:lang w:eastAsia="en-CA"/>
              </w:rPr>
              <w:t>Identiteti gjinor është përvoja jonë e brendshme dhe emërtimi i përkatësisë gjinore tonë. Mund të korrespondojë ose ndryshojë nga seksi që na është caktuar në lindje. Kuptimi i gjinisë sonë vjen për shumicën prej nesh mjaft herët në jetë. Identiteti gjinor është një aspekt i qenësishëm i përbërjes së një personi. Individët nuk zgjedhin gjininë e tyre dhe as nuk mund ta ndryshojnë atë. Sidoqoftë, fjalët që dikush përdor për të komunikuar identitetin e tyre gjinor mund të ndryshojnë me kalimin e kohës; emërtimi i gjinisë së dikujt mund të jetë një çështje komplekse dhe në zhvillim. Për shkak se ne kemi një gjuhë të kufizuar për përkatësinë gjinore, një personi mund t'i duhet mjaft kohë për të zbuluar, ose krijuar, gjuhën që komunikon më së miri përvojën e tij të brendshme. Po kështu, ndërsa gjuha evoluon, emri i një personi për përkatësinë gjinore të tij gjithashtu mund të zhvillohet. Kjo nuk do të thotë se gjinia e tij ka ndryshuar, por përkundrazi fjalët për të po ndryshojnë. Dy identitetet gjinore me të cilët njerëzit janë të njohur janë djem/burra dhe vajza/gra dhe shpesh njerëzit mendojnë se këto janë identitetet e vetme gjinore. Kjo ide se ekzistojnë vetëm dy gjini - dhe që secili individ duhet të jetë ose njëra ose tjetra - quhet "Binari Gjinore". Sidoqoftë, gjatë gjithë historisë njerëzore ne e dimë se shumë shoqëri kanë parë, dhe vazhdojnë ta shohin, gjininë si një spektër, dhe jo të kufizuar në vetëm dy mundësi. Përveç këtyre dy identiteteve, identitetet e tjera tani janë të zakonshme. Të rejat dhe të rinjtë sot nuk ndihen më të lidhur nga binari gjinor, në vend të kësaj krijojnë një fjalor në rritje për përkatësinë gjinore. Më shumë sesa thjesht një seri fjalësh të reja, megjithatë, ky ndryshim në gjuhë përfaqëson një kuptim shumë më të nuancuar të përvojës së vetë gjinisë. Termat që komunikojnë gamën e gjerë të përvojave të njerëzve jo binarë janë veçanërisht në rritje në numër. “Genderqueer”, një term që përdoret si identitet ashtu edhe si term ombrellë për identitetet jo binare, është një shembull i një termi për ata që nuk identifikohen si ekskluzivisht mashkullorë apo femërore. Ky evolucion i gjuhës është emocionues, por gjithashtu mund të jetë konfuz pasi termat e rinj krijohen rregullisht, por ajo çfarë nënkuptojnë, mund të ndryshojë nga personi në person.</w:t>
            </w:r>
          </w:p>
        </w:tc>
      </w:tr>
      <w:tr w:rsidR="001A79E3" w:rsidRPr="001A79E3" w:rsidTr="001A79E3">
        <w:trPr>
          <w:trHeight w:val="1504"/>
        </w:trPr>
        <w:tc>
          <w:tcPr>
            <w:cnfStyle w:val="001000000000"/>
            <w:tcW w:w="3083" w:type="dxa"/>
          </w:tcPr>
          <w:p w:rsidR="00EA2EE6" w:rsidRPr="001A79E3" w:rsidRDefault="00EA2EE6">
            <w:pPr>
              <w:ind w:left="21"/>
              <w:jc w:val="center"/>
            </w:pPr>
            <w:r w:rsidRPr="001A79E3">
              <w:t>P</w:t>
            </w:r>
            <w:r w:rsidR="008551B5" w:rsidRPr="001A79E3">
              <w:t>ë</w:t>
            </w:r>
            <w:r w:rsidRPr="001A79E3">
              <w:t>rkat</w:t>
            </w:r>
            <w:r w:rsidR="008551B5" w:rsidRPr="001A79E3">
              <w:t>ë</w:t>
            </w:r>
            <w:r w:rsidRPr="001A79E3">
              <w:t>sia gjinore sociale</w:t>
            </w:r>
          </w:p>
        </w:tc>
        <w:tc>
          <w:tcPr>
            <w:tcW w:w="10507" w:type="dxa"/>
          </w:tcPr>
          <w:p w:rsidR="00EA2EE6" w:rsidRPr="001A79E3" w:rsidRDefault="008551B5" w:rsidP="00EA2EE6">
            <w:pPr>
              <w:shd w:val="clear" w:color="auto" w:fill="FFFFFF"/>
              <w:jc w:val="both"/>
              <w:cnfStyle w:val="000000000000"/>
              <w:rPr>
                <w:rFonts w:eastAsia="Times New Roman"/>
                <w:lang w:eastAsia="en-CA"/>
              </w:rPr>
            </w:pPr>
            <w:r w:rsidRPr="001A79E3">
              <w:rPr>
                <w:rFonts w:eastAsia="Times New Roman"/>
                <w:lang w:eastAsia="en-CA"/>
              </w:rPr>
              <w:t>Ë</w:t>
            </w:r>
            <w:r w:rsidR="00EA2EE6" w:rsidRPr="001A79E3">
              <w:rPr>
                <w:rFonts w:eastAsia="Times New Roman"/>
                <w:lang w:eastAsia="en-CA"/>
              </w:rPr>
              <w:t xml:space="preserve">shtë dimensioni i tretë. Kjo përfshin shprehjen gjinore, e cila është mënyra se si ne u komunikojmë gjininë tonë të tjerëve përmes gjërave të tilla si veshjet, modelet e flokëve dhe mënyrën e të vepruarit. Gjithashtu përfshin mënyrën se si individët, komunitetet dhe shoqëria perceptojnë, bashkëveprojnë dhe përpiqen të formojnë përkatësinë gjinore tonë. Përkatësia gjinore sociale përfshin rolet dhe pritjet gjinore dhe mënyrën se si shoqëria i përdor ato në përpjekje për të zbatuar konformitetin me normat aktuale gjinore. Praktikisht gjithçkaje i caktohet një gjini - lodrat, ngjyrat dhe rrobat janë disa nga shembujt më të qartë. Ne fillojmë t'i mësojmë fëmijët për gjininë që nga momenti kur ata lindin: duke pasur parasysh prevalencën e binarit gjinor, fëmijët përballen me presion të madh për të shprehur përkatësinë e tyre gjinore brenda përkufizimeve të ngushta, stereotipike të "djalit" ose "vajzës". Pritjet në lidhje me gjininë komunikohen përmes çdo aspekti të jetës sonë, përfshirë familjen, kulturën, bashkëmoshatarët, shkollat, komunitetin, median dhe fenë. Rolet dhe pritjet gjinore janë aq të ngulitura në kulturën tonë sa është e vështirë të imagjinosh gjërat në ndonjë mënyrë tjetër. Fëmijët që shprehin përkatësi gjinore jashtë këtyre normave shoqërore shpesh kanë një përvojë të vështirë. Vajzat që mendohen si shumë mashkullore dhe djemtë që shihen si femra përballen me një sërë sfidash. Fëmijët që nuk shprehen përgjatë vijave binare gjinore shpesh bëhen të padukshëm ose drejtohen në një prezantim më binar të gjinisë. Presionet për t'u përshtatur në shtëpi, keqtrajtimi nga bashkëmoshatarët në shkollë dhe dënimi nga shoqëria e gjerë janë vetëm disa nga përpjekjet me të cilat përballet një </w:t>
            </w:r>
            <w:r w:rsidR="00EA2EE6" w:rsidRPr="001A79E3">
              <w:rPr>
                <w:rFonts w:eastAsia="Times New Roman"/>
                <w:lang w:eastAsia="en-CA"/>
              </w:rPr>
              <w:lastRenderedPageBreak/>
              <w:t>fëmijë, shprehja e të cilit nuk bie në përputhje me sistemin binar gjinor. Për shkak se pritjet rreth përkatësisë gjinore janë kaq të ngurta, ne shpesh supozojmë se ajo që dikush vesh, ose mënyra se si lëvizin, flasin ose shprehen, na tregon diçka për identitetin e tyre gjinor. Por shprehja është e dallueshme nga identiteti - ne nuk mund të supozojmë identitetin gjinor të një personi bazuar në shprehjen e tij gjinore. Për shembull, një djalë mund të dëshirojë të veshë funde ose fustane. Zgjedhja e tij në veshje nuk përcakton identitetin e tij gjinor; kjo thjesht do të thotë që ai preferon (të paktën disa herë) të veshë rroba që shoqëria zakonisht i ka lidhur me vajzat. Në fakt, mënyra se si ne interpretojmë gjininë e një personi dhe supozimet që ne bëjmë rreth tyre ka të bëjë me kuptimin tonë personal të përkatësisë gjinore dhe normave e stereotipeve që kemi integruar - nuk ka të bëjë me ta. Së fundmi, normat rreth gjinisë ndryshojnë në të gjitha shoqëritë dhe me kalimin e kohës.</w:t>
            </w:r>
          </w:p>
        </w:tc>
      </w:tr>
      <w:tr w:rsidR="001A79E3" w:rsidRPr="001A79E3" w:rsidTr="001A79E3">
        <w:trPr>
          <w:trHeight w:val="630"/>
        </w:trPr>
        <w:tc>
          <w:tcPr>
            <w:cnfStyle w:val="001000000000"/>
            <w:tcW w:w="3083" w:type="dxa"/>
          </w:tcPr>
          <w:p w:rsidR="00EA2EE6" w:rsidRPr="001A79E3" w:rsidRDefault="00EA2EE6">
            <w:pPr>
              <w:ind w:left="21"/>
              <w:jc w:val="center"/>
            </w:pPr>
            <w:r w:rsidRPr="001A79E3">
              <w:rPr>
                <w:rFonts w:eastAsia="Times New Roman"/>
                <w:lang w:eastAsia="en-CA"/>
              </w:rPr>
              <w:lastRenderedPageBreak/>
              <w:t>Përkatësia gjinore personale.</w:t>
            </w:r>
          </w:p>
        </w:tc>
        <w:tc>
          <w:tcPr>
            <w:tcW w:w="10507" w:type="dxa"/>
          </w:tcPr>
          <w:p w:rsidR="00EA2EE6" w:rsidRPr="001A79E3" w:rsidRDefault="00EA2EE6" w:rsidP="00EA2EE6">
            <w:pPr>
              <w:shd w:val="clear" w:color="auto" w:fill="FFFFFF"/>
              <w:jc w:val="both"/>
              <w:cnfStyle w:val="000000000000"/>
              <w:rPr>
                <w:rFonts w:eastAsia="Times New Roman"/>
                <w:lang w:eastAsia="en-CA"/>
              </w:rPr>
            </w:pPr>
            <w:r w:rsidRPr="001A79E3">
              <w:rPr>
                <w:rFonts w:eastAsia="Times New Roman"/>
                <w:lang w:eastAsia="en-CA"/>
              </w:rPr>
              <w:t>Ndërsa dimensionet e gjinisë dhe dëshira për përputhshmëri janë të zakonshme për të gjithë ne, në fund të fundit përkatësia gjinore është personale. Çdo dimension i gjinisë informohet nga kryqëzimi ynë unik i identiteteve, përvojave dhe karakteristikave personale. Ne jemi më shumë sesa trupi ynë, identiteti gjinor dhe shprehja gjinore: ne jemi gjithashtu raca, etnia, klasa, besimi, ndjenja e vendit gjeografik, historia familjare dhe më shumë. Përkatësia gjinore jonë është personale sepse, ndërsa ne ndajmë disa nga këto aspekte të vetvetes me të tjerët, mënyra se si bashkohen të gjitha këto identitete, ndikime dhe karakteristika është unike për secilin prej nesh.</w:t>
            </w:r>
          </w:p>
        </w:tc>
      </w:tr>
      <w:tr w:rsidR="001A79E3" w:rsidRPr="001A79E3" w:rsidTr="001A79E3">
        <w:trPr>
          <w:trHeight w:val="1504"/>
        </w:trPr>
        <w:tc>
          <w:tcPr>
            <w:cnfStyle w:val="001000000000"/>
            <w:tcW w:w="3083" w:type="dxa"/>
          </w:tcPr>
          <w:p w:rsidR="00EA2EE6" w:rsidRPr="001A79E3" w:rsidRDefault="00EA2EE6">
            <w:pPr>
              <w:ind w:left="21"/>
              <w:jc w:val="center"/>
              <w:rPr>
                <w:rFonts w:eastAsia="Times New Roman"/>
                <w:lang w:eastAsia="en-CA"/>
              </w:rPr>
            </w:pPr>
            <w:r w:rsidRPr="001A79E3">
              <w:rPr>
                <w:rFonts w:eastAsia="Times New Roman"/>
                <w:lang w:eastAsia="en-CA"/>
              </w:rPr>
              <w:t>Përkatësia gjinore është e ndryshme nga orientimi seksual.</w:t>
            </w:r>
          </w:p>
        </w:tc>
        <w:tc>
          <w:tcPr>
            <w:tcW w:w="10507" w:type="dxa"/>
          </w:tcPr>
          <w:p w:rsidR="00EA2EE6" w:rsidRPr="001A79E3" w:rsidRDefault="00EA2EE6" w:rsidP="00EA2EE6">
            <w:pPr>
              <w:shd w:val="clear" w:color="auto" w:fill="FFFFFF"/>
              <w:jc w:val="both"/>
              <w:cnfStyle w:val="000000000000"/>
              <w:rPr>
                <w:rFonts w:eastAsia="Times New Roman"/>
                <w:lang w:eastAsia="en-CA"/>
              </w:rPr>
            </w:pPr>
            <w:r w:rsidRPr="001A79E3">
              <w:rPr>
                <w:rFonts w:eastAsia="Times New Roman"/>
                <w:lang w:eastAsia="en-CA"/>
              </w:rPr>
              <w:t>Një dallim përfundimtar për të bërë është ndryshimi midis përkatësisë gjinore dhe orientimit seksual, të cilat shpesh janë të ndërthurura gabimisht. Në fakt, përkatësia gjinore dhe orientimi seksual janë dy aspekte të veçanta, por të lidhura, të vetvetes. Përkatësa gjinore është personale (si e shohim veten), ndërsa orientimi seksual është ndërpersonale (cili/cila na tërheq fizikisht, emocionalisht dhe / ose romantikisht). Pse është kaq kritike të bëhet dallimi midis këtyre dy koncepteve? Kur ngatërrojmë përkatësinë gjinore me orientimin seksual, ka të ngjarë të bëjmë supozime për një person që nuk kanë asnjë lidhje me atë që është. Për shembull, kur shprehja gjinore e dikujt nuk është në përputhje me pritjet e të tjerëve, shpesh bëhen supozime për orientimin seksual të atij personi. Djali i cili pëlqen të luajë princeshën supozohet të jetë homoseksual dhe vajza që ble rroba në seksionin "djem" dhe favorizon një prerje të shkurtër të flokëve mund të supozohet se është lezbike. Këto mund të jenë përfundime të gabuara. Ajo që dikush vesh dhe si vepron ka të bëjë me shprehjen gjinore. Bashkimi shoqëror i përkatësisë gjinore dhe orientimit seksual gjithashtu mund të ndërhyjë në aftësinë e dikujt për të kuptuar dhe artikuluar aspektet e përkatësisë gjinore. Të menduarit për këto dy aspekte të vetvetes si të këmbyeshëm mund, në vend që të na ndihmojë të njohim veten dhe njëri-tjetrin më mirë, në të vërtetë të na pengojë në kuptimin dhe komunikimin.</w:t>
            </w:r>
            <w:r w:rsidRPr="001A79E3">
              <w:t xml:space="preserve"> </w:t>
            </w:r>
            <w:r w:rsidRPr="001A79E3">
              <w:rPr>
                <w:rFonts w:eastAsia="Times New Roman"/>
                <w:lang w:eastAsia="en-CA"/>
              </w:rPr>
              <w:t>Përmes një shqyrtimi të kujdesshëm të veçantisë dhe vlefshmërisë së përvojës së secilit prej vetes, ne mund të zhvillojmë një pranim më të madh për të gjithë. Jo vetëm që kjo do të krijojë një përfshirje më të madhe për individët që sfidojnë normat e gjinisë, por do të krijojë hapësirë për të gjithë individët për të eksploruar dhe shprehur më plotësisht se cilët janë.</w:t>
            </w:r>
          </w:p>
        </w:tc>
      </w:tr>
    </w:tbl>
    <w:p w:rsidR="008627AB" w:rsidRPr="001A79E3" w:rsidRDefault="008627AB" w:rsidP="00C70695">
      <w:pPr>
        <w:ind w:left="-1440" w:right="34"/>
      </w:pPr>
    </w:p>
    <w:sectPr w:rsidR="008627AB" w:rsidRPr="001A79E3" w:rsidSect="00724FBE">
      <w:pgSz w:w="16838" w:h="11906"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EF" w:rsidRDefault="00C621EF" w:rsidP="00130050">
      <w:r>
        <w:separator/>
      </w:r>
    </w:p>
  </w:endnote>
  <w:endnote w:type="continuationSeparator" w:id="0">
    <w:p w:rsidR="00C621EF" w:rsidRDefault="00C621EF" w:rsidP="00130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Ligh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35" w:rsidRDefault="00263435" w:rsidP="004066FC">
    <w:pPr>
      <w:pStyle w:val="Footer"/>
      <w:jc w:val="right"/>
    </w:pPr>
    <w:fldSimple w:instr=" PAGE   \* MERGEFORMAT ">
      <w:r w:rsidR="000E6FAA">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EF" w:rsidRDefault="00C621EF" w:rsidP="00130050">
      <w:r>
        <w:separator/>
      </w:r>
    </w:p>
  </w:footnote>
  <w:footnote w:type="continuationSeparator" w:id="0">
    <w:p w:rsidR="00C621EF" w:rsidRDefault="00C621EF" w:rsidP="00130050">
      <w:r>
        <w:continuationSeparator/>
      </w:r>
    </w:p>
  </w:footnote>
  <w:footnote w:id="1">
    <w:p w:rsidR="00263435" w:rsidRPr="0005701D" w:rsidRDefault="00263435">
      <w:pPr>
        <w:pStyle w:val="FootnoteText"/>
        <w:rPr>
          <w:lang w:val="en-US"/>
        </w:rPr>
      </w:pPr>
      <w:r w:rsidRPr="006D0450">
        <w:rPr>
          <w:rStyle w:val="FootnoteReference"/>
        </w:rPr>
        <w:footnoteRef/>
      </w:r>
      <w:r w:rsidRPr="006D0450">
        <w:t xml:space="preserve"> </w:t>
      </w:r>
      <w:r w:rsidRPr="00FB6BB5">
        <w:t>https://shendetesia.gov.al/wp-content/uploads/2018/06/Plani_Kombetar_per_LGBTI.pdf</w:t>
      </w:r>
    </w:p>
  </w:footnote>
  <w:footnote w:id="2">
    <w:p w:rsidR="00263435" w:rsidRPr="0005701D" w:rsidRDefault="00263435">
      <w:pPr>
        <w:pStyle w:val="FootnoteText"/>
        <w:rPr>
          <w:lang w:val="en-US"/>
        </w:rPr>
      </w:pPr>
      <w:r w:rsidRPr="006D0450">
        <w:rPr>
          <w:rStyle w:val="FootnoteReference"/>
        </w:rPr>
        <w:footnoteRef/>
      </w:r>
      <w:r w:rsidRPr="006D0450">
        <w:t xml:space="preserve"> </w:t>
      </w:r>
      <w:r w:rsidRPr="00FB6BB5">
        <w:t>https://www.mod.gov.al/images/PDF/strategji2016/SKZHI_FINAL_QBZ.pdf</w:t>
      </w:r>
    </w:p>
  </w:footnote>
  <w:footnote w:id="3">
    <w:p w:rsidR="00263435" w:rsidRPr="0005701D" w:rsidRDefault="00263435" w:rsidP="004F7CE4">
      <w:pPr>
        <w:pStyle w:val="FootnoteText"/>
      </w:pPr>
      <w:r w:rsidRPr="0005701D">
        <w:rPr>
          <w:rStyle w:val="FootnoteReference"/>
        </w:rPr>
        <w:footnoteRef/>
      </w:r>
      <w:hyperlink r:id="rId1" w:history="1">
        <w:r w:rsidRPr="0005701D">
          <w:rPr>
            <w:rStyle w:val="Hyperlink"/>
          </w:rPr>
          <w:t>https://kryeministria.al/wp-content/uploads/2017/11/PROGRAMI.pdf</w:t>
        </w:r>
      </w:hyperlink>
    </w:p>
  </w:footnote>
  <w:footnote w:id="4">
    <w:p w:rsidR="00263435" w:rsidRPr="0005701D" w:rsidRDefault="00263435" w:rsidP="004F7CE4">
      <w:pPr>
        <w:pStyle w:val="FootnoteText"/>
      </w:pPr>
      <w:r w:rsidRPr="0005701D">
        <w:rPr>
          <w:rStyle w:val="FootnoteReference"/>
        </w:rPr>
        <w:footnoteRef/>
      </w:r>
      <w:hyperlink r:id="rId2" w:history="1">
        <w:r w:rsidRPr="0005701D">
          <w:rPr>
            <w:rStyle w:val="Hyperlink"/>
          </w:rPr>
          <w:t>https://sdgs.un.org/goals</w:t>
        </w:r>
      </w:hyperlink>
    </w:p>
  </w:footnote>
  <w:footnote w:id="5">
    <w:p w:rsidR="00263435" w:rsidRPr="0005701D" w:rsidRDefault="00263435" w:rsidP="004F7CE4">
      <w:pPr>
        <w:pStyle w:val="FootnoteText"/>
      </w:pPr>
      <w:r w:rsidRPr="0005701D">
        <w:rPr>
          <w:rStyle w:val="FootnoteReference"/>
        </w:rPr>
        <w:footnoteRef/>
      </w:r>
      <w:hyperlink r:id="rId3" w:history="1">
        <w:r w:rsidRPr="0005701D">
          <w:rPr>
            <w:rStyle w:val="Hyperlink"/>
          </w:rPr>
          <w:t>https://sustainabledevelopment.un.org/content/documents/21252030%20Agenda%20for%20Sustainable%20Development%20web.pdf</w:t>
        </w:r>
      </w:hyperlink>
    </w:p>
  </w:footnote>
  <w:footnote w:id="6">
    <w:p w:rsidR="00263435" w:rsidRPr="0005701D" w:rsidRDefault="00263435">
      <w:pPr>
        <w:pStyle w:val="FootnoteText"/>
        <w:rPr>
          <w:lang w:val="en-US"/>
        </w:rPr>
      </w:pPr>
      <w:r w:rsidRPr="006D0450">
        <w:rPr>
          <w:rStyle w:val="FootnoteReference"/>
        </w:rPr>
        <w:footnoteRef/>
      </w:r>
      <w:r w:rsidRPr="006D0450">
        <w:t xml:space="preserve"> </w:t>
      </w:r>
      <w:r w:rsidRPr="00FB6BB5">
        <w:rPr>
          <w:lang w:val="en-US"/>
        </w:rPr>
        <w:t>Miratuar me VKM nr. 400 datë 30.06.2021 botuar në Fletoren Zyrtare Nr.112, datë 15.07.2021</w:t>
      </w:r>
    </w:p>
  </w:footnote>
  <w:footnote w:id="7">
    <w:p w:rsidR="00263435" w:rsidRPr="0005701D" w:rsidRDefault="00263435">
      <w:pPr>
        <w:pStyle w:val="FootnoteText"/>
        <w:rPr>
          <w:lang w:val="en-US"/>
        </w:rPr>
      </w:pPr>
      <w:r>
        <w:rPr>
          <w:rStyle w:val="FootnoteReference"/>
        </w:rPr>
        <w:footnoteRef/>
      </w:r>
      <w:r>
        <w:t xml:space="preserve"> </w:t>
      </w:r>
      <w:hyperlink r:id="rId4" w:history="1">
        <w:r w:rsidRPr="00246078">
          <w:rPr>
            <w:rStyle w:val="Hyperlink"/>
          </w:rPr>
          <w:t>https://ec.europa.eu/info/policies/justice-and-fundamental-rights/combatting-discrimination/lesbian-gay-bi-trans-and-intersex-equality/lgbtiq-equality-strategy-2020-2025_en</w:t>
        </w:r>
      </w:hyperlink>
      <w:r>
        <w:t xml:space="preserve"> </w:t>
      </w:r>
    </w:p>
  </w:footnote>
  <w:footnote w:id="8">
    <w:p w:rsidR="00263435" w:rsidRPr="0005701D" w:rsidRDefault="00263435">
      <w:pPr>
        <w:pStyle w:val="FootnoteText"/>
        <w:rPr>
          <w:lang w:val="en-US"/>
        </w:rPr>
      </w:pPr>
      <w:r>
        <w:rPr>
          <w:rStyle w:val="FootnoteReference"/>
        </w:rPr>
        <w:footnoteRef/>
      </w:r>
      <w:r>
        <w:t xml:space="preserve"> </w:t>
      </w:r>
      <w:hyperlink r:id="rId5" w:history="1">
        <w:r w:rsidRPr="00246078">
          <w:rPr>
            <w:rStyle w:val="Hyperlink"/>
          </w:rPr>
          <w:t>https://www.ohchr.org/EN/HRBodies/UPR/Pages/ALIndex.aspx</w:t>
        </w:r>
      </w:hyperlink>
      <w:r>
        <w:t xml:space="preserve"> </w:t>
      </w:r>
    </w:p>
  </w:footnote>
  <w:footnote w:id="9">
    <w:p w:rsidR="00263435" w:rsidRPr="0005701D" w:rsidRDefault="00263435">
      <w:pPr>
        <w:pStyle w:val="FootnoteText"/>
        <w:rPr>
          <w:lang w:val="en-US"/>
        </w:rPr>
      </w:pPr>
      <w:r>
        <w:rPr>
          <w:rStyle w:val="FootnoteReference"/>
        </w:rPr>
        <w:footnoteRef/>
      </w:r>
      <w:r>
        <w:t xml:space="preserve"> </w:t>
      </w:r>
      <w:hyperlink r:id="rId6" w:history="1">
        <w:r w:rsidRPr="00246078">
          <w:rPr>
            <w:rStyle w:val="Hyperlink"/>
          </w:rPr>
          <w:t>https://rm.coe.int/report-on-albania-6th-monitoring-cycle-translation-in-albanian-/16809e8240</w:t>
        </w:r>
      </w:hyperlink>
      <w:r>
        <w:t xml:space="preserve"> </w:t>
      </w:r>
    </w:p>
  </w:footnote>
  <w:footnote w:id="10">
    <w:p w:rsidR="00263435" w:rsidRPr="0005701D" w:rsidRDefault="00263435">
      <w:pPr>
        <w:pStyle w:val="FootnoteText"/>
        <w:rPr>
          <w:lang w:val="en-US"/>
        </w:rPr>
      </w:pPr>
      <w:r>
        <w:rPr>
          <w:rStyle w:val="FootnoteReference"/>
        </w:rPr>
        <w:footnoteRef/>
      </w:r>
      <w:r>
        <w:t xml:space="preserve"> </w:t>
      </w:r>
      <w:hyperlink r:id="rId7" w:history="1">
        <w:r w:rsidRPr="00246078">
          <w:rPr>
            <w:rStyle w:val="Hyperlink"/>
          </w:rPr>
          <w:t>https://ec.europa.eu/neighbourhood-enlargement/sites/default/files/albania_report_2020.pdf</w:t>
        </w:r>
      </w:hyperlink>
      <w:r>
        <w:t xml:space="preserve"> </w:t>
      </w:r>
    </w:p>
  </w:footnote>
  <w:footnote w:id="11">
    <w:p w:rsidR="00263435" w:rsidRPr="0005701D" w:rsidRDefault="00263435">
      <w:pPr>
        <w:pStyle w:val="FootnoteText"/>
        <w:rPr>
          <w:lang w:val="en-US"/>
        </w:rPr>
      </w:pPr>
      <w:r>
        <w:rPr>
          <w:rStyle w:val="FootnoteReference"/>
        </w:rPr>
        <w:footnoteRef/>
      </w:r>
      <w:r>
        <w:t xml:space="preserve"> </w:t>
      </w:r>
      <w:hyperlink r:id="rId8" w:history="1">
        <w:r w:rsidRPr="00246078">
          <w:rPr>
            <w:rStyle w:val="Hyperlink"/>
          </w:rPr>
          <w:t>https://rainbow-europe.org/sites/default/files/annual-report/Annual-Review-Full-2021.pdf</w:t>
        </w:r>
      </w:hyperlink>
      <w:r>
        <w:t xml:space="preserve"> </w:t>
      </w:r>
    </w:p>
  </w:footnote>
  <w:footnote w:id="12">
    <w:p w:rsidR="00263435" w:rsidRPr="0005701D" w:rsidRDefault="00263435">
      <w:pPr>
        <w:pStyle w:val="FootnoteText"/>
        <w:rPr>
          <w:lang w:val="en-US"/>
        </w:rPr>
      </w:pPr>
      <w:r>
        <w:rPr>
          <w:rStyle w:val="FootnoteReference"/>
        </w:rPr>
        <w:footnoteRef/>
      </w:r>
      <w:r>
        <w:t xml:space="preserve"> </w:t>
      </w:r>
      <w:hyperlink r:id="rId9" w:history="1">
        <w:r w:rsidRPr="00246078">
          <w:rPr>
            <w:rStyle w:val="Hyperlink"/>
          </w:rPr>
          <w:t>https://rm.coe.int/report-on-albania-6th-monitoring-cycle-translation-in-albanian-/16809e8240</w:t>
        </w:r>
      </w:hyperlink>
      <w:r>
        <w:t xml:space="preserve"> </w:t>
      </w:r>
    </w:p>
  </w:footnote>
  <w:footnote w:id="13">
    <w:p w:rsidR="00263435" w:rsidRPr="0005701D" w:rsidRDefault="00263435">
      <w:pPr>
        <w:pStyle w:val="FootnoteText"/>
        <w:rPr>
          <w:lang w:val="en-US"/>
        </w:rPr>
      </w:pPr>
      <w:r>
        <w:rPr>
          <w:rStyle w:val="FootnoteReference"/>
        </w:rPr>
        <w:footnoteRef/>
      </w:r>
      <w:r>
        <w:t xml:space="preserve"> </w:t>
      </w:r>
      <w:hyperlink r:id="rId10" w:history="1">
        <w:r w:rsidRPr="00246078">
          <w:rPr>
            <w:rStyle w:val="Hyperlink"/>
          </w:rPr>
          <w:t>https://ec.europa.eu/neighbourhood-enlargement/sites/default/files/albania_report_2020.pdf</w:t>
        </w:r>
      </w:hyperlink>
      <w:r>
        <w:t xml:space="preserve"> </w:t>
      </w:r>
    </w:p>
  </w:footnote>
  <w:footnote w:id="14">
    <w:p w:rsidR="00263435" w:rsidRPr="00D04432" w:rsidRDefault="00263435" w:rsidP="003203DD">
      <w:pPr>
        <w:pStyle w:val="FootnoteText"/>
        <w:rPr>
          <w:lang w:val="en-US"/>
        </w:rPr>
      </w:pPr>
      <w:r>
        <w:rPr>
          <w:rStyle w:val="FootnoteReference"/>
        </w:rPr>
        <w:footnoteRef/>
      </w:r>
      <w:r>
        <w:t xml:space="preserve"> </w:t>
      </w:r>
      <w:hyperlink r:id="rId11" w:history="1">
        <w:r w:rsidRPr="00246078">
          <w:rPr>
            <w:rStyle w:val="Hyperlink"/>
          </w:rPr>
          <w:t>https://www.ohchr.org/EN/HRBodies/UPR/Pages/ALIndex.aspx</w:t>
        </w:r>
      </w:hyperlink>
      <w:r>
        <w:t xml:space="preserve"> </w:t>
      </w:r>
    </w:p>
  </w:footnote>
  <w:footnote w:id="15">
    <w:p w:rsidR="00263435" w:rsidRPr="000F0DCC" w:rsidRDefault="00263435" w:rsidP="00350A0C">
      <w:pPr>
        <w:pStyle w:val="FootnoteText"/>
        <w:rPr>
          <w:sz w:val="18"/>
          <w:szCs w:val="18"/>
        </w:rPr>
      </w:pPr>
      <w:r w:rsidRPr="000F0DCC">
        <w:rPr>
          <w:rStyle w:val="FootnoteReference"/>
          <w:sz w:val="18"/>
          <w:szCs w:val="18"/>
        </w:rPr>
        <w:footnoteRef/>
      </w:r>
      <w:r w:rsidRPr="000F0DCC">
        <w:rPr>
          <w:sz w:val="18"/>
          <w:szCs w:val="18"/>
        </w:rPr>
        <w:t xml:space="preserve"> Ligj Nr.124/2020 “Për disa shtesa dhe ndryshime në Ligjin Nr.10221/2010 “Për mbrojtjen nga diskriminimi” </w:t>
      </w:r>
    </w:p>
  </w:footnote>
  <w:footnote w:id="16">
    <w:p w:rsidR="00263435" w:rsidRPr="0005701D" w:rsidRDefault="00263435">
      <w:pPr>
        <w:pStyle w:val="FootnoteText"/>
        <w:rPr>
          <w:lang w:val="en-US"/>
        </w:rPr>
      </w:pPr>
      <w:r>
        <w:rPr>
          <w:rStyle w:val="FootnoteReference"/>
        </w:rPr>
        <w:footnoteRef/>
      </w:r>
      <w:r>
        <w:t xml:space="preserve"> </w:t>
      </w:r>
      <w:r>
        <w:rPr>
          <w:lang w:val="en-US"/>
        </w:rPr>
        <w:t>Sipas Ligjit 10221/2010 “Për mbrojtjen nga diskriminimi”, i ndryshuar, neni 1 dhe 3. Shiko:</w:t>
      </w:r>
      <w:r w:rsidRPr="00BD7CBF">
        <w:t xml:space="preserve"> </w:t>
      </w:r>
      <w:hyperlink r:id="rId12" w:history="1">
        <w:r w:rsidRPr="005374C5">
          <w:rPr>
            <w:rStyle w:val="Hyperlink"/>
            <w:lang w:val="en-US"/>
          </w:rPr>
          <w:t>https://www.uart.edu.al/media/150329-Ligji%2010221_%202010%20per%20mbrojtjen%20nga%20%20diskriminimi.pdf</w:t>
        </w:r>
      </w:hyperlink>
      <w:r>
        <w:rPr>
          <w:lang w:val="en-US"/>
        </w:rPr>
        <w:t xml:space="preserve"> </w:t>
      </w:r>
    </w:p>
  </w:footnote>
  <w:footnote w:id="17">
    <w:p w:rsidR="00263435" w:rsidRPr="00BD4B41" w:rsidRDefault="00263435" w:rsidP="0071236B">
      <w:pPr>
        <w:pStyle w:val="FootnoteText"/>
        <w:rPr>
          <w:lang w:val="en-US"/>
        </w:rPr>
      </w:pPr>
      <w:r w:rsidRPr="00BD4B41">
        <w:rPr>
          <w:rStyle w:val="FootnoteReference"/>
        </w:rPr>
        <w:footnoteRef/>
      </w:r>
      <w:r w:rsidRPr="00BD4B41">
        <w:t xml:space="preserve"> </w:t>
      </w:r>
      <w:hyperlink r:id="rId13" w:history="1">
        <w:r w:rsidRPr="00246078">
          <w:rPr>
            <w:rStyle w:val="Hyperlink"/>
          </w:rPr>
          <w:t>https://scholars.org/contribution/affirmation-way-understand-and-create-safe-spaces-all-people</w:t>
        </w:r>
      </w:hyperlink>
      <w:r>
        <w:t xml:space="preserve"> </w:t>
      </w:r>
    </w:p>
  </w:footnote>
  <w:footnote w:id="18">
    <w:p w:rsidR="00263435" w:rsidRPr="00BF02E2" w:rsidRDefault="00263435" w:rsidP="008C1AE4">
      <w:pPr>
        <w:pStyle w:val="FootnoteText"/>
        <w:jc w:val="both"/>
        <w:rPr>
          <w:lang w:val="en-US"/>
        </w:rPr>
      </w:pPr>
      <w:r>
        <w:rPr>
          <w:rStyle w:val="FootnoteReference"/>
        </w:rPr>
        <w:footnoteRef/>
      </w:r>
      <w:r>
        <w:rPr>
          <w:lang w:val="en-US"/>
        </w:rPr>
        <w:t xml:space="preserve">Grupi i eksperteve përmes të cilave </w:t>
      </w:r>
      <w:r w:rsidRPr="003641B1">
        <w:t>KE</w:t>
      </w:r>
      <w:r>
        <w:rPr>
          <w:lang w:val="en-US"/>
        </w:rPr>
        <w:t xml:space="preserve"> i ofroi mbështetje dhe asistencë teknike MSHMS gjatë gjithë procesit të hartimit të “PKV LGBTI+ 2021-2027” përbëhej nga: </w:t>
      </w:r>
      <w:r w:rsidRPr="003641B1">
        <w:t>Marije Cornelissen dhe Ardjana Shehi</w:t>
      </w:r>
      <w:r>
        <w:t>, të cilat përgatitën raportin e Vlerësimin e Zbatimit të PKV LGBTI 2016-2020, si dhe lehtësuan punën e GNP për përgatitjen e draft “PKV LGBTI+ 2021 – 2027”</w:t>
      </w:r>
      <w:r w:rsidRPr="003641B1">
        <w:rPr>
          <w:lang w:val="en-US"/>
        </w:rPr>
        <w:t>.</w:t>
      </w:r>
      <w:r>
        <w:rPr>
          <w:lang w:val="en-US"/>
        </w:rPr>
        <w:t xml:space="preserve"> Kostimi i dokumentit të përgatitur u realizua me mbështetjen e KE përmes angazhimit të ekspertes Albana Ahmeti.</w:t>
      </w:r>
    </w:p>
  </w:footnote>
  <w:footnote w:id="19">
    <w:p w:rsidR="00263435" w:rsidRPr="0005701D" w:rsidRDefault="00263435" w:rsidP="0005701D">
      <w:pPr>
        <w:pStyle w:val="FootnoteText"/>
        <w:jc w:val="both"/>
        <w:rPr>
          <w:lang w:val="en-US"/>
        </w:rPr>
      </w:pPr>
      <w:r>
        <w:rPr>
          <w:rStyle w:val="FootnoteReference"/>
        </w:rPr>
        <w:footnoteRef/>
      </w:r>
      <w:r>
        <w:t xml:space="preserve"> </w:t>
      </w:r>
      <w:r>
        <w:rPr>
          <w:lang w:val="en-US"/>
        </w:rPr>
        <w:t xml:space="preserve">Për këtë qëllim UN Women angazhoi eksperten Monika Kocaqi e cila rishikoi PKV në tërësi, si pjesën narrative, formulimin e objektivave, masave dhe aktiviteteve, ashtu edhe pasaportën e indikatorëve dhe përgatiti vartiantin përfundimtar të këtij dokumenti. </w:t>
      </w:r>
    </w:p>
  </w:footnote>
  <w:footnote w:id="20">
    <w:p w:rsidR="00263435" w:rsidRPr="00B4480C" w:rsidRDefault="00263435" w:rsidP="00EA2EE6">
      <w:pPr>
        <w:pStyle w:val="FootnoteText"/>
        <w:jc w:val="both"/>
        <w:rPr>
          <w:lang w:val="en-US"/>
        </w:rPr>
      </w:pPr>
      <w:r w:rsidRPr="00B4480C">
        <w:rPr>
          <w:rStyle w:val="FootnoteReference"/>
        </w:rPr>
        <w:footnoteRef/>
      </w:r>
      <w:r w:rsidRPr="00B4480C">
        <w:t xml:space="preserve"> </w:t>
      </w:r>
      <w:r w:rsidRPr="00B4480C">
        <w:rPr>
          <w:lang w:val="en-US"/>
        </w:rPr>
        <w:t>B</w:t>
      </w:r>
      <w:r>
        <w:rPr>
          <w:lang w:val="en-US"/>
        </w:rPr>
        <w:t>ë</w:t>
      </w:r>
      <w:r w:rsidRPr="00B4480C">
        <w:rPr>
          <w:lang w:val="en-US"/>
        </w:rPr>
        <w:t>h</w:t>
      </w:r>
      <w:r>
        <w:rPr>
          <w:lang w:val="en-US"/>
        </w:rPr>
        <w:t>e</w:t>
      </w:r>
      <w:r w:rsidRPr="00B4480C">
        <w:rPr>
          <w:lang w:val="en-US"/>
        </w:rPr>
        <w:t>t fjal</w:t>
      </w:r>
      <w:r>
        <w:rPr>
          <w:lang w:val="en-US"/>
        </w:rPr>
        <w:t>ë</w:t>
      </w:r>
      <w:r w:rsidRPr="00B4480C">
        <w:rPr>
          <w:lang w:val="en-US"/>
        </w:rPr>
        <w:t xml:space="preserve"> p</w:t>
      </w:r>
      <w:r>
        <w:rPr>
          <w:lang w:val="en-US"/>
        </w:rPr>
        <w:t>ë</w:t>
      </w:r>
      <w:r w:rsidRPr="00B4480C">
        <w:rPr>
          <w:lang w:val="en-US"/>
        </w:rPr>
        <w:t>r termin “gender” – “gjini”, por n</w:t>
      </w:r>
      <w:r>
        <w:rPr>
          <w:lang w:val="en-US"/>
        </w:rPr>
        <w:t>ë</w:t>
      </w:r>
      <w:r w:rsidRPr="00B4480C">
        <w:rPr>
          <w:lang w:val="en-US"/>
        </w:rPr>
        <w:t xml:space="preserve"> Shqip</w:t>
      </w:r>
      <w:r>
        <w:rPr>
          <w:lang w:val="en-US"/>
        </w:rPr>
        <w:t>ë</w:t>
      </w:r>
      <w:r w:rsidRPr="00B4480C">
        <w:rPr>
          <w:lang w:val="en-US"/>
        </w:rPr>
        <w:t xml:space="preserve">ri prej vitesh nuk </w:t>
      </w:r>
      <w:r>
        <w:rPr>
          <w:lang w:val="en-US"/>
        </w:rPr>
        <w:t>ë</w:t>
      </w:r>
      <w:r w:rsidRPr="00B4480C">
        <w:rPr>
          <w:lang w:val="en-US"/>
        </w:rPr>
        <w:t>sht</w:t>
      </w:r>
      <w:r>
        <w:rPr>
          <w:lang w:val="en-US"/>
        </w:rPr>
        <w:t>ë</w:t>
      </w:r>
      <w:r w:rsidRPr="00B4480C">
        <w:rPr>
          <w:lang w:val="en-US"/>
        </w:rPr>
        <w:t xml:space="preserve"> p</w:t>
      </w:r>
      <w:r>
        <w:rPr>
          <w:lang w:val="en-US"/>
        </w:rPr>
        <w:t>ë</w:t>
      </w:r>
      <w:r w:rsidRPr="00B4480C">
        <w:rPr>
          <w:lang w:val="en-US"/>
        </w:rPr>
        <w:t>rdorur sakt</w:t>
      </w:r>
      <w:r>
        <w:rPr>
          <w:lang w:val="en-US"/>
        </w:rPr>
        <w:t>ë</w:t>
      </w:r>
      <w:r w:rsidRPr="00B4480C">
        <w:rPr>
          <w:lang w:val="en-US"/>
        </w:rPr>
        <w:t>sisht si terminologji, pasi vet</w:t>
      </w:r>
      <w:r>
        <w:rPr>
          <w:lang w:val="en-US"/>
        </w:rPr>
        <w:t>ë</w:t>
      </w:r>
      <w:r w:rsidRPr="00B4480C">
        <w:rPr>
          <w:lang w:val="en-US"/>
        </w:rPr>
        <w:t xml:space="preserve"> ky term ka z</w:t>
      </w:r>
      <w:r>
        <w:rPr>
          <w:lang w:val="en-US"/>
        </w:rPr>
        <w:t>ë</w:t>
      </w:r>
      <w:r w:rsidRPr="00B4480C">
        <w:rPr>
          <w:lang w:val="en-US"/>
        </w:rPr>
        <w:t>vend</w:t>
      </w:r>
      <w:r>
        <w:rPr>
          <w:lang w:val="en-US"/>
        </w:rPr>
        <w:t>ë</w:t>
      </w:r>
      <w:r w:rsidRPr="00B4480C">
        <w:rPr>
          <w:lang w:val="en-US"/>
        </w:rPr>
        <w:t>suar m</w:t>
      </w:r>
      <w:r>
        <w:rPr>
          <w:lang w:val="en-US"/>
        </w:rPr>
        <w:t>ë</w:t>
      </w:r>
      <w:r w:rsidRPr="00B4480C">
        <w:rPr>
          <w:lang w:val="en-US"/>
        </w:rPr>
        <w:t xml:space="preserve"> shum</w:t>
      </w:r>
      <w:r>
        <w:rPr>
          <w:lang w:val="en-US"/>
        </w:rPr>
        <w:t>ë</w:t>
      </w:r>
      <w:r w:rsidRPr="00B4480C">
        <w:rPr>
          <w:lang w:val="en-US"/>
        </w:rPr>
        <w:t xml:space="preserve"> termin “seks”</w:t>
      </w:r>
      <w:r>
        <w:rPr>
          <w:lang w:val="en-US"/>
        </w:rPr>
        <w:t xml:space="preserve"> </w:t>
      </w:r>
      <w:r w:rsidRPr="00B4480C">
        <w:rPr>
          <w:lang w:val="en-US"/>
        </w:rPr>
        <w:t xml:space="preserve">(pra </w:t>
      </w:r>
      <w:r>
        <w:rPr>
          <w:lang w:val="en-US"/>
        </w:rPr>
        <w:t>ë</w:t>
      </w:r>
      <w:r w:rsidRPr="00B4480C">
        <w:rPr>
          <w:lang w:val="en-US"/>
        </w:rPr>
        <w:t>sht</w:t>
      </w:r>
      <w:r>
        <w:rPr>
          <w:lang w:val="en-US"/>
        </w:rPr>
        <w:t>ë</w:t>
      </w:r>
      <w:r w:rsidRPr="00B4480C">
        <w:rPr>
          <w:lang w:val="en-US"/>
        </w:rPr>
        <w:t xml:space="preserve"> p</w:t>
      </w:r>
      <w:r>
        <w:rPr>
          <w:lang w:val="en-US"/>
        </w:rPr>
        <w:t>ë</w:t>
      </w:r>
      <w:r w:rsidRPr="00B4480C">
        <w:rPr>
          <w:lang w:val="en-US"/>
        </w:rPr>
        <w:t>rdorur zakonisht “Gjinia” = mashkull/ fem</w:t>
      </w:r>
      <w:r>
        <w:rPr>
          <w:lang w:val="en-US"/>
        </w:rPr>
        <w:t>ë</w:t>
      </w:r>
      <w:r w:rsidRPr="00B4480C">
        <w:rPr>
          <w:lang w:val="en-US"/>
        </w:rPr>
        <w:t>r) Prandaj, p</w:t>
      </w:r>
      <w:r>
        <w:rPr>
          <w:lang w:val="en-US"/>
        </w:rPr>
        <w:t>ë</w:t>
      </w:r>
      <w:r w:rsidRPr="00B4480C">
        <w:rPr>
          <w:lang w:val="en-US"/>
        </w:rPr>
        <w:t>r t</w:t>
      </w:r>
      <w:r>
        <w:rPr>
          <w:lang w:val="en-US"/>
        </w:rPr>
        <w:t>ë</w:t>
      </w:r>
      <w:r w:rsidRPr="00B4480C">
        <w:rPr>
          <w:lang w:val="en-US"/>
        </w:rPr>
        <w:t xml:space="preserve"> b</w:t>
      </w:r>
      <w:r>
        <w:rPr>
          <w:lang w:val="en-US"/>
        </w:rPr>
        <w:t>ë</w:t>
      </w:r>
      <w:r w:rsidRPr="00B4480C">
        <w:rPr>
          <w:lang w:val="en-US"/>
        </w:rPr>
        <w:t>r</w:t>
      </w:r>
      <w:r>
        <w:rPr>
          <w:lang w:val="en-US"/>
        </w:rPr>
        <w:t>ë</w:t>
      </w:r>
      <w:r w:rsidRPr="00B4480C">
        <w:rPr>
          <w:lang w:val="en-US"/>
        </w:rPr>
        <w:t xml:space="preserve"> dallimin mes tij dhe asaj q</w:t>
      </w:r>
      <w:r>
        <w:rPr>
          <w:lang w:val="en-US"/>
        </w:rPr>
        <w:t>ë</w:t>
      </w:r>
      <w:r w:rsidRPr="00B4480C">
        <w:rPr>
          <w:lang w:val="en-US"/>
        </w:rPr>
        <w:t xml:space="preserve"> n</w:t>
      </w:r>
      <w:r>
        <w:rPr>
          <w:lang w:val="en-US"/>
        </w:rPr>
        <w:t>ë</w:t>
      </w:r>
      <w:r w:rsidRPr="00B4480C">
        <w:rPr>
          <w:lang w:val="en-US"/>
        </w:rPr>
        <w:t xml:space="preserve"> sintaks</w:t>
      </w:r>
      <w:r>
        <w:rPr>
          <w:lang w:val="en-US"/>
        </w:rPr>
        <w:t>ë</w:t>
      </w:r>
      <w:r w:rsidRPr="00B4480C">
        <w:rPr>
          <w:lang w:val="en-US"/>
        </w:rPr>
        <w:t xml:space="preserve"> e kemi formuluar si “mashkullore” apo “fem</w:t>
      </w:r>
      <w:r>
        <w:rPr>
          <w:lang w:val="en-US"/>
        </w:rPr>
        <w:t>ë</w:t>
      </w:r>
      <w:r w:rsidRPr="00B4480C">
        <w:rPr>
          <w:lang w:val="en-US"/>
        </w:rPr>
        <w:t>rore” (duke e em</w:t>
      </w:r>
      <w:r>
        <w:rPr>
          <w:lang w:val="en-US"/>
        </w:rPr>
        <w:t>ë</w:t>
      </w:r>
      <w:r w:rsidRPr="00B4480C">
        <w:rPr>
          <w:lang w:val="en-US"/>
        </w:rPr>
        <w:t>rtuar s</w:t>
      </w:r>
      <w:r>
        <w:rPr>
          <w:lang w:val="en-US"/>
        </w:rPr>
        <w:t>ë</w:t>
      </w:r>
      <w:r w:rsidRPr="00B4480C">
        <w:rPr>
          <w:lang w:val="en-US"/>
        </w:rPr>
        <w:t xml:space="preserve">rish “gjini”) </w:t>
      </w:r>
      <w:r>
        <w:rPr>
          <w:lang w:val="en-US"/>
        </w:rPr>
        <w:t xml:space="preserve">si </w:t>
      </w:r>
      <w:r w:rsidRPr="00B4480C">
        <w:rPr>
          <w:lang w:val="en-US"/>
        </w:rPr>
        <w:t>dhe “mashkullor</w:t>
      </w:r>
      <w:r>
        <w:rPr>
          <w:lang w:val="en-US"/>
        </w:rPr>
        <w:t>ë</w:t>
      </w:r>
      <w:r w:rsidRPr="00B4480C">
        <w:rPr>
          <w:lang w:val="en-US"/>
        </w:rPr>
        <w:t>sis</w:t>
      </w:r>
      <w:r>
        <w:rPr>
          <w:lang w:val="en-US"/>
        </w:rPr>
        <w:t>ë</w:t>
      </w:r>
      <w:r w:rsidRPr="00B4480C">
        <w:rPr>
          <w:lang w:val="en-US"/>
        </w:rPr>
        <w:t>” e “feminilitetit” q</w:t>
      </w:r>
      <w:r>
        <w:rPr>
          <w:lang w:val="en-US"/>
        </w:rPr>
        <w:t>ë</w:t>
      </w:r>
      <w:r w:rsidRPr="00B4480C">
        <w:rPr>
          <w:lang w:val="en-US"/>
        </w:rPr>
        <w:t xml:space="preserve"> shoq</w:t>
      </w:r>
      <w:r>
        <w:rPr>
          <w:lang w:val="en-US"/>
        </w:rPr>
        <w:t>ë</w:t>
      </w:r>
      <w:r w:rsidRPr="00B4480C">
        <w:rPr>
          <w:lang w:val="en-US"/>
        </w:rPr>
        <w:t>ron konceptet e djal</w:t>
      </w:r>
      <w:r>
        <w:rPr>
          <w:lang w:val="en-US"/>
        </w:rPr>
        <w:t>ë</w:t>
      </w:r>
      <w:r w:rsidRPr="00B4480C">
        <w:rPr>
          <w:lang w:val="en-US"/>
        </w:rPr>
        <w:t>/burr</w:t>
      </w:r>
      <w:r>
        <w:rPr>
          <w:lang w:val="en-US"/>
        </w:rPr>
        <w:t>ë</w:t>
      </w:r>
      <w:r w:rsidRPr="00B4480C">
        <w:rPr>
          <w:lang w:val="en-US"/>
        </w:rPr>
        <w:t xml:space="preserve"> apo vajza/grua, </w:t>
      </w:r>
      <w:r>
        <w:rPr>
          <w:lang w:val="en-US"/>
        </w:rPr>
        <w:t>ekspertet/</w:t>
      </w:r>
      <w:r w:rsidRPr="00B4480C">
        <w:rPr>
          <w:lang w:val="en-US"/>
        </w:rPr>
        <w:t>ekspert</w:t>
      </w:r>
      <w:r>
        <w:rPr>
          <w:lang w:val="en-US"/>
        </w:rPr>
        <w:t>ë</w:t>
      </w:r>
      <w:r w:rsidRPr="00B4480C">
        <w:rPr>
          <w:lang w:val="en-US"/>
        </w:rPr>
        <w:t>t e fush</w:t>
      </w:r>
      <w:r>
        <w:rPr>
          <w:lang w:val="en-US"/>
        </w:rPr>
        <w:t>ë</w:t>
      </w:r>
      <w:r w:rsidRPr="00B4480C">
        <w:rPr>
          <w:lang w:val="en-US"/>
        </w:rPr>
        <w:t>s</w:t>
      </w:r>
      <w:r>
        <w:rPr>
          <w:lang w:val="en-US"/>
        </w:rPr>
        <w:t>,</w:t>
      </w:r>
      <w:r w:rsidRPr="00B4480C">
        <w:rPr>
          <w:lang w:val="en-US"/>
        </w:rPr>
        <w:t xml:space="preserve"> prej vitesh kan</w:t>
      </w:r>
      <w:r>
        <w:rPr>
          <w:lang w:val="en-US"/>
        </w:rPr>
        <w:t>ë</w:t>
      </w:r>
      <w:r w:rsidRPr="00B4480C">
        <w:rPr>
          <w:lang w:val="en-US"/>
        </w:rPr>
        <w:t xml:space="preserve"> dakord</w:t>
      </w:r>
      <w:r>
        <w:rPr>
          <w:lang w:val="en-US"/>
        </w:rPr>
        <w:t>ë</w:t>
      </w:r>
      <w:r w:rsidRPr="00B4480C">
        <w:rPr>
          <w:lang w:val="en-US"/>
        </w:rPr>
        <w:t>suar q</w:t>
      </w:r>
      <w:r>
        <w:rPr>
          <w:lang w:val="en-US"/>
        </w:rPr>
        <w:t>ë</w:t>
      </w:r>
      <w:r w:rsidRPr="00B4480C">
        <w:rPr>
          <w:lang w:val="en-US"/>
        </w:rPr>
        <w:t xml:space="preserve"> n</w:t>
      </w:r>
      <w:r>
        <w:rPr>
          <w:lang w:val="en-US"/>
        </w:rPr>
        <w:t>ë</w:t>
      </w:r>
      <w:r w:rsidRPr="00B4480C">
        <w:rPr>
          <w:lang w:val="en-US"/>
        </w:rPr>
        <w:t xml:space="preserve"> ç</w:t>
      </w:r>
      <w:r>
        <w:rPr>
          <w:lang w:val="en-US"/>
        </w:rPr>
        <w:t>ë</w:t>
      </w:r>
      <w:r w:rsidRPr="00B4480C">
        <w:rPr>
          <w:lang w:val="en-US"/>
        </w:rPr>
        <w:t>shtjet e barazis</w:t>
      </w:r>
      <w:r>
        <w:rPr>
          <w:lang w:val="en-US"/>
        </w:rPr>
        <w:t>ë</w:t>
      </w:r>
      <w:r w:rsidRPr="00B4480C">
        <w:rPr>
          <w:lang w:val="en-US"/>
        </w:rPr>
        <w:t xml:space="preserve"> gjinore, termin “gender” ta p</w:t>
      </w:r>
      <w:r>
        <w:rPr>
          <w:lang w:val="en-US"/>
        </w:rPr>
        <w:t>ë</w:t>
      </w:r>
      <w:r w:rsidRPr="00B4480C">
        <w:rPr>
          <w:lang w:val="en-US"/>
        </w:rPr>
        <w:t>rkthejn</w:t>
      </w:r>
      <w:r>
        <w:rPr>
          <w:lang w:val="en-US"/>
        </w:rPr>
        <w:t>ë</w:t>
      </w:r>
      <w:r w:rsidRPr="00B4480C">
        <w:rPr>
          <w:lang w:val="en-US"/>
        </w:rPr>
        <w:t xml:space="preserve"> “p</w:t>
      </w:r>
      <w:r>
        <w:rPr>
          <w:lang w:val="en-US"/>
        </w:rPr>
        <w:t>ë</w:t>
      </w:r>
      <w:r w:rsidRPr="00B4480C">
        <w:rPr>
          <w:lang w:val="en-US"/>
        </w:rPr>
        <w:t>rkat</w:t>
      </w:r>
      <w:r>
        <w:rPr>
          <w:lang w:val="en-US"/>
        </w:rPr>
        <w:t>ë</w:t>
      </w:r>
      <w:r w:rsidRPr="00B4480C">
        <w:rPr>
          <w:lang w:val="en-US"/>
        </w:rPr>
        <w:t>si gjinore”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35" w:rsidRPr="00A002A7" w:rsidRDefault="00263435" w:rsidP="00A002A7">
    <w:pPr>
      <w:pStyle w:val="Header"/>
    </w:pPr>
    <w:r w:rsidRPr="00A002A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C4F"/>
    <w:multiLevelType w:val="hybridMultilevel"/>
    <w:tmpl w:val="FD2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70C51"/>
    <w:multiLevelType w:val="hybridMultilevel"/>
    <w:tmpl w:val="481840B2"/>
    <w:lvl w:ilvl="0" w:tplc="4A1444C4">
      <w:start w:val="1"/>
      <w:numFmt w:val="lowerRoman"/>
      <w:lvlText w:val="%1."/>
      <w:lvlJc w:val="right"/>
      <w:pPr>
        <w:tabs>
          <w:tab w:val="num" w:pos="720"/>
        </w:tabs>
        <w:ind w:left="720" w:hanging="360"/>
      </w:pPr>
    </w:lvl>
    <w:lvl w:ilvl="1" w:tplc="66B22F82" w:tentative="1">
      <w:start w:val="1"/>
      <w:numFmt w:val="lowerRoman"/>
      <w:lvlText w:val="%2."/>
      <w:lvlJc w:val="right"/>
      <w:pPr>
        <w:tabs>
          <w:tab w:val="num" w:pos="1440"/>
        </w:tabs>
        <w:ind w:left="1440" w:hanging="360"/>
      </w:pPr>
    </w:lvl>
    <w:lvl w:ilvl="2" w:tplc="FE662238" w:tentative="1">
      <w:start w:val="1"/>
      <w:numFmt w:val="lowerRoman"/>
      <w:lvlText w:val="%3."/>
      <w:lvlJc w:val="right"/>
      <w:pPr>
        <w:tabs>
          <w:tab w:val="num" w:pos="2160"/>
        </w:tabs>
        <w:ind w:left="2160" w:hanging="360"/>
      </w:pPr>
    </w:lvl>
    <w:lvl w:ilvl="3" w:tplc="29DAEB2C" w:tentative="1">
      <w:start w:val="1"/>
      <w:numFmt w:val="lowerRoman"/>
      <w:lvlText w:val="%4."/>
      <w:lvlJc w:val="right"/>
      <w:pPr>
        <w:tabs>
          <w:tab w:val="num" w:pos="2880"/>
        </w:tabs>
        <w:ind w:left="2880" w:hanging="360"/>
      </w:pPr>
    </w:lvl>
    <w:lvl w:ilvl="4" w:tplc="BD40D9D6" w:tentative="1">
      <w:start w:val="1"/>
      <w:numFmt w:val="lowerRoman"/>
      <w:lvlText w:val="%5."/>
      <w:lvlJc w:val="right"/>
      <w:pPr>
        <w:tabs>
          <w:tab w:val="num" w:pos="3600"/>
        </w:tabs>
        <w:ind w:left="3600" w:hanging="360"/>
      </w:pPr>
    </w:lvl>
    <w:lvl w:ilvl="5" w:tplc="8326B772" w:tentative="1">
      <w:start w:val="1"/>
      <w:numFmt w:val="lowerRoman"/>
      <w:lvlText w:val="%6."/>
      <w:lvlJc w:val="right"/>
      <w:pPr>
        <w:tabs>
          <w:tab w:val="num" w:pos="4320"/>
        </w:tabs>
        <w:ind w:left="4320" w:hanging="360"/>
      </w:pPr>
    </w:lvl>
    <w:lvl w:ilvl="6" w:tplc="2ACE7026" w:tentative="1">
      <w:start w:val="1"/>
      <w:numFmt w:val="lowerRoman"/>
      <w:lvlText w:val="%7."/>
      <w:lvlJc w:val="right"/>
      <w:pPr>
        <w:tabs>
          <w:tab w:val="num" w:pos="5040"/>
        </w:tabs>
        <w:ind w:left="5040" w:hanging="360"/>
      </w:pPr>
    </w:lvl>
    <w:lvl w:ilvl="7" w:tplc="E9E48AC4" w:tentative="1">
      <w:start w:val="1"/>
      <w:numFmt w:val="lowerRoman"/>
      <w:lvlText w:val="%8."/>
      <w:lvlJc w:val="right"/>
      <w:pPr>
        <w:tabs>
          <w:tab w:val="num" w:pos="5760"/>
        </w:tabs>
        <w:ind w:left="5760" w:hanging="360"/>
      </w:pPr>
    </w:lvl>
    <w:lvl w:ilvl="8" w:tplc="2312CCF0" w:tentative="1">
      <w:start w:val="1"/>
      <w:numFmt w:val="lowerRoman"/>
      <w:lvlText w:val="%9."/>
      <w:lvlJc w:val="right"/>
      <w:pPr>
        <w:tabs>
          <w:tab w:val="num" w:pos="6480"/>
        </w:tabs>
        <w:ind w:left="6480" w:hanging="360"/>
      </w:pPr>
    </w:lvl>
  </w:abstractNum>
  <w:abstractNum w:abstractNumId="2">
    <w:nsid w:val="06FB6FD8"/>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35D7"/>
    <w:multiLevelType w:val="hybridMultilevel"/>
    <w:tmpl w:val="5AD29296"/>
    <w:lvl w:ilvl="0" w:tplc="3E8018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34EE1"/>
    <w:multiLevelType w:val="multilevel"/>
    <w:tmpl w:val="C0ECABD6"/>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0C20E3"/>
    <w:multiLevelType w:val="hybridMultilevel"/>
    <w:tmpl w:val="44608D7E"/>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81C53"/>
    <w:multiLevelType w:val="hybridMultilevel"/>
    <w:tmpl w:val="A8763DC6"/>
    <w:lvl w:ilvl="0" w:tplc="4850BC2E">
      <w:start w:val="1"/>
      <w:numFmt w:val="lowerRoman"/>
      <w:lvlText w:val="%1."/>
      <w:lvlJc w:val="right"/>
      <w:pPr>
        <w:tabs>
          <w:tab w:val="num" w:pos="720"/>
        </w:tabs>
        <w:ind w:left="720" w:hanging="360"/>
      </w:pPr>
    </w:lvl>
    <w:lvl w:ilvl="1" w:tplc="CE3A39F4" w:tentative="1">
      <w:start w:val="1"/>
      <w:numFmt w:val="lowerRoman"/>
      <w:lvlText w:val="%2."/>
      <w:lvlJc w:val="right"/>
      <w:pPr>
        <w:tabs>
          <w:tab w:val="num" w:pos="1440"/>
        </w:tabs>
        <w:ind w:left="1440" w:hanging="360"/>
      </w:pPr>
    </w:lvl>
    <w:lvl w:ilvl="2" w:tplc="D652AF46" w:tentative="1">
      <w:start w:val="1"/>
      <w:numFmt w:val="lowerRoman"/>
      <w:lvlText w:val="%3."/>
      <w:lvlJc w:val="right"/>
      <w:pPr>
        <w:tabs>
          <w:tab w:val="num" w:pos="2160"/>
        </w:tabs>
        <w:ind w:left="2160" w:hanging="360"/>
      </w:pPr>
    </w:lvl>
    <w:lvl w:ilvl="3" w:tplc="930EF160" w:tentative="1">
      <w:start w:val="1"/>
      <w:numFmt w:val="lowerRoman"/>
      <w:lvlText w:val="%4."/>
      <w:lvlJc w:val="right"/>
      <w:pPr>
        <w:tabs>
          <w:tab w:val="num" w:pos="2880"/>
        </w:tabs>
        <w:ind w:left="2880" w:hanging="360"/>
      </w:pPr>
    </w:lvl>
    <w:lvl w:ilvl="4" w:tplc="B8484FA2" w:tentative="1">
      <w:start w:val="1"/>
      <w:numFmt w:val="lowerRoman"/>
      <w:lvlText w:val="%5."/>
      <w:lvlJc w:val="right"/>
      <w:pPr>
        <w:tabs>
          <w:tab w:val="num" w:pos="3600"/>
        </w:tabs>
        <w:ind w:left="3600" w:hanging="360"/>
      </w:pPr>
    </w:lvl>
    <w:lvl w:ilvl="5" w:tplc="66AEB150" w:tentative="1">
      <w:start w:val="1"/>
      <w:numFmt w:val="lowerRoman"/>
      <w:lvlText w:val="%6."/>
      <w:lvlJc w:val="right"/>
      <w:pPr>
        <w:tabs>
          <w:tab w:val="num" w:pos="4320"/>
        </w:tabs>
        <w:ind w:left="4320" w:hanging="360"/>
      </w:pPr>
    </w:lvl>
    <w:lvl w:ilvl="6" w:tplc="FC222F74" w:tentative="1">
      <w:start w:val="1"/>
      <w:numFmt w:val="lowerRoman"/>
      <w:lvlText w:val="%7."/>
      <w:lvlJc w:val="right"/>
      <w:pPr>
        <w:tabs>
          <w:tab w:val="num" w:pos="5040"/>
        </w:tabs>
        <w:ind w:left="5040" w:hanging="360"/>
      </w:pPr>
    </w:lvl>
    <w:lvl w:ilvl="7" w:tplc="F692EF12" w:tentative="1">
      <w:start w:val="1"/>
      <w:numFmt w:val="lowerRoman"/>
      <w:lvlText w:val="%8."/>
      <w:lvlJc w:val="right"/>
      <w:pPr>
        <w:tabs>
          <w:tab w:val="num" w:pos="5760"/>
        </w:tabs>
        <w:ind w:left="5760" w:hanging="360"/>
      </w:pPr>
    </w:lvl>
    <w:lvl w:ilvl="8" w:tplc="478054AE" w:tentative="1">
      <w:start w:val="1"/>
      <w:numFmt w:val="lowerRoman"/>
      <w:lvlText w:val="%9."/>
      <w:lvlJc w:val="right"/>
      <w:pPr>
        <w:tabs>
          <w:tab w:val="num" w:pos="6480"/>
        </w:tabs>
        <w:ind w:left="6480" w:hanging="360"/>
      </w:pPr>
    </w:lvl>
  </w:abstractNum>
  <w:abstractNum w:abstractNumId="7">
    <w:nsid w:val="0C055B5E"/>
    <w:multiLevelType w:val="hybridMultilevel"/>
    <w:tmpl w:val="E93899F0"/>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E4A8C"/>
    <w:multiLevelType w:val="hybridMultilevel"/>
    <w:tmpl w:val="481840B2"/>
    <w:lvl w:ilvl="0" w:tplc="4A1444C4">
      <w:start w:val="1"/>
      <w:numFmt w:val="lowerRoman"/>
      <w:lvlText w:val="%1."/>
      <w:lvlJc w:val="right"/>
      <w:pPr>
        <w:tabs>
          <w:tab w:val="num" w:pos="720"/>
        </w:tabs>
        <w:ind w:left="720" w:hanging="360"/>
      </w:pPr>
    </w:lvl>
    <w:lvl w:ilvl="1" w:tplc="66B22F82" w:tentative="1">
      <w:start w:val="1"/>
      <w:numFmt w:val="lowerRoman"/>
      <w:lvlText w:val="%2."/>
      <w:lvlJc w:val="right"/>
      <w:pPr>
        <w:tabs>
          <w:tab w:val="num" w:pos="1440"/>
        </w:tabs>
        <w:ind w:left="1440" w:hanging="360"/>
      </w:pPr>
    </w:lvl>
    <w:lvl w:ilvl="2" w:tplc="FE662238" w:tentative="1">
      <w:start w:val="1"/>
      <w:numFmt w:val="lowerRoman"/>
      <w:lvlText w:val="%3."/>
      <w:lvlJc w:val="right"/>
      <w:pPr>
        <w:tabs>
          <w:tab w:val="num" w:pos="2160"/>
        </w:tabs>
        <w:ind w:left="2160" w:hanging="360"/>
      </w:pPr>
    </w:lvl>
    <w:lvl w:ilvl="3" w:tplc="29DAEB2C" w:tentative="1">
      <w:start w:val="1"/>
      <w:numFmt w:val="lowerRoman"/>
      <w:lvlText w:val="%4."/>
      <w:lvlJc w:val="right"/>
      <w:pPr>
        <w:tabs>
          <w:tab w:val="num" w:pos="2880"/>
        </w:tabs>
        <w:ind w:left="2880" w:hanging="360"/>
      </w:pPr>
    </w:lvl>
    <w:lvl w:ilvl="4" w:tplc="BD40D9D6" w:tentative="1">
      <w:start w:val="1"/>
      <w:numFmt w:val="lowerRoman"/>
      <w:lvlText w:val="%5."/>
      <w:lvlJc w:val="right"/>
      <w:pPr>
        <w:tabs>
          <w:tab w:val="num" w:pos="3600"/>
        </w:tabs>
        <w:ind w:left="3600" w:hanging="360"/>
      </w:pPr>
    </w:lvl>
    <w:lvl w:ilvl="5" w:tplc="8326B772" w:tentative="1">
      <w:start w:val="1"/>
      <w:numFmt w:val="lowerRoman"/>
      <w:lvlText w:val="%6."/>
      <w:lvlJc w:val="right"/>
      <w:pPr>
        <w:tabs>
          <w:tab w:val="num" w:pos="4320"/>
        </w:tabs>
        <w:ind w:left="4320" w:hanging="360"/>
      </w:pPr>
    </w:lvl>
    <w:lvl w:ilvl="6" w:tplc="2ACE7026" w:tentative="1">
      <w:start w:val="1"/>
      <w:numFmt w:val="lowerRoman"/>
      <w:lvlText w:val="%7."/>
      <w:lvlJc w:val="right"/>
      <w:pPr>
        <w:tabs>
          <w:tab w:val="num" w:pos="5040"/>
        </w:tabs>
        <w:ind w:left="5040" w:hanging="360"/>
      </w:pPr>
    </w:lvl>
    <w:lvl w:ilvl="7" w:tplc="E9E48AC4" w:tentative="1">
      <w:start w:val="1"/>
      <w:numFmt w:val="lowerRoman"/>
      <w:lvlText w:val="%8."/>
      <w:lvlJc w:val="right"/>
      <w:pPr>
        <w:tabs>
          <w:tab w:val="num" w:pos="5760"/>
        </w:tabs>
        <w:ind w:left="5760" w:hanging="360"/>
      </w:pPr>
    </w:lvl>
    <w:lvl w:ilvl="8" w:tplc="2312CCF0" w:tentative="1">
      <w:start w:val="1"/>
      <w:numFmt w:val="lowerRoman"/>
      <w:lvlText w:val="%9."/>
      <w:lvlJc w:val="right"/>
      <w:pPr>
        <w:tabs>
          <w:tab w:val="num" w:pos="6480"/>
        </w:tabs>
        <w:ind w:left="6480" w:hanging="360"/>
      </w:pPr>
    </w:lvl>
  </w:abstractNum>
  <w:abstractNum w:abstractNumId="9">
    <w:nsid w:val="0ECD6F2E"/>
    <w:multiLevelType w:val="multilevel"/>
    <w:tmpl w:val="0F36DD08"/>
    <w:lvl w:ilvl="0">
      <w:start w:val="3"/>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lowerLetter"/>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0">
    <w:nsid w:val="11A6373F"/>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0697C"/>
    <w:multiLevelType w:val="hybridMultilevel"/>
    <w:tmpl w:val="6964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6716C"/>
    <w:multiLevelType w:val="hybridMultilevel"/>
    <w:tmpl w:val="0A8ABC32"/>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071725"/>
    <w:multiLevelType w:val="hybridMultilevel"/>
    <w:tmpl w:val="5858B036"/>
    <w:lvl w:ilvl="0" w:tplc="C44C351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59795B"/>
    <w:multiLevelType w:val="hybridMultilevel"/>
    <w:tmpl w:val="F398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F3894"/>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E82A36"/>
    <w:multiLevelType w:val="hybridMultilevel"/>
    <w:tmpl w:val="B1CC750C"/>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4A20FD"/>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C87E72"/>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50863"/>
    <w:multiLevelType w:val="multilevel"/>
    <w:tmpl w:val="B75E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D354DA"/>
    <w:multiLevelType w:val="hybridMultilevel"/>
    <w:tmpl w:val="FD2406EC"/>
    <w:lvl w:ilvl="0" w:tplc="EAB23DEE">
      <w:start w:val="1"/>
      <w:numFmt w:val="lowerRoman"/>
      <w:lvlText w:val="%1."/>
      <w:lvlJc w:val="right"/>
      <w:pPr>
        <w:tabs>
          <w:tab w:val="num" w:pos="720"/>
        </w:tabs>
        <w:ind w:left="720" w:hanging="360"/>
      </w:pPr>
    </w:lvl>
    <w:lvl w:ilvl="1" w:tplc="61E634D0" w:tentative="1">
      <w:start w:val="1"/>
      <w:numFmt w:val="lowerRoman"/>
      <w:lvlText w:val="%2."/>
      <w:lvlJc w:val="right"/>
      <w:pPr>
        <w:tabs>
          <w:tab w:val="num" w:pos="1440"/>
        </w:tabs>
        <w:ind w:left="1440" w:hanging="360"/>
      </w:pPr>
    </w:lvl>
    <w:lvl w:ilvl="2" w:tplc="9B3E2902" w:tentative="1">
      <w:start w:val="1"/>
      <w:numFmt w:val="lowerRoman"/>
      <w:lvlText w:val="%3."/>
      <w:lvlJc w:val="right"/>
      <w:pPr>
        <w:tabs>
          <w:tab w:val="num" w:pos="2160"/>
        </w:tabs>
        <w:ind w:left="2160" w:hanging="360"/>
      </w:pPr>
    </w:lvl>
    <w:lvl w:ilvl="3" w:tplc="A5264BAA" w:tentative="1">
      <w:start w:val="1"/>
      <w:numFmt w:val="lowerRoman"/>
      <w:lvlText w:val="%4."/>
      <w:lvlJc w:val="right"/>
      <w:pPr>
        <w:tabs>
          <w:tab w:val="num" w:pos="2880"/>
        </w:tabs>
        <w:ind w:left="2880" w:hanging="360"/>
      </w:pPr>
    </w:lvl>
    <w:lvl w:ilvl="4" w:tplc="4A76EFC6" w:tentative="1">
      <w:start w:val="1"/>
      <w:numFmt w:val="lowerRoman"/>
      <w:lvlText w:val="%5."/>
      <w:lvlJc w:val="right"/>
      <w:pPr>
        <w:tabs>
          <w:tab w:val="num" w:pos="3600"/>
        </w:tabs>
        <w:ind w:left="3600" w:hanging="360"/>
      </w:pPr>
    </w:lvl>
    <w:lvl w:ilvl="5" w:tplc="3398BF2C" w:tentative="1">
      <w:start w:val="1"/>
      <w:numFmt w:val="lowerRoman"/>
      <w:lvlText w:val="%6."/>
      <w:lvlJc w:val="right"/>
      <w:pPr>
        <w:tabs>
          <w:tab w:val="num" w:pos="4320"/>
        </w:tabs>
        <w:ind w:left="4320" w:hanging="360"/>
      </w:pPr>
    </w:lvl>
    <w:lvl w:ilvl="6" w:tplc="8A766174" w:tentative="1">
      <w:start w:val="1"/>
      <w:numFmt w:val="lowerRoman"/>
      <w:lvlText w:val="%7."/>
      <w:lvlJc w:val="right"/>
      <w:pPr>
        <w:tabs>
          <w:tab w:val="num" w:pos="5040"/>
        </w:tabs>
        <w:ind w:left="5040" w:hanging="360"/>
      </w:pPr>
    </w:lvl>
    <w:lvl w:ilvl="7" w:tplc="3A30CF04" w:tentative="1">
      <w:start w:val="1"/>
      <w:numFmt w:val="lowerRoman"/>
      <w:lvlText w:val="%8."/>
      <w:lvlJc w:val="right"/>
      <w:pPr>
        <w:tabs>
          <w:tab w:val="num" w:pos="5760"/>
        </w:tabs>
        <w:ind w:left="5760" w:hanging="360"/>
      </w:pPr>
    </w:lvl>
    <w:lvl w:ilvl="8" w:tplc="4DB219BC" w:tentative="1">
      <w:start w:val="1"/>
      <w:numFmt w:val="lowerRoman"/>
      <w:lvlText w:val="%9."/>
      <w:lvlJc w:val="right"/>
      <w:pPr>
        <w:tabs>
          <w:tab w:val="num" w:pos="6480"/>
        </w:tabs>
        <w:ind w:left="6480" w:hanging="360"/>
      </w:pPr>
    </w:lvl>
  </w:abstractNum>
  <w:abstractNum w:abstractNumId="21">
    <w:nsid w:val="2387336E"/>
    <w:multiLevelType w:val="hybridMultilevel"/>
    <w:tmpl w:val="8F88C91E"/>
    <w:lvl w:ilvl="0" w:tplc="39C46618">
      <w:start w:val="1"/>
      <w:numFmt w:val="lowerRoman"/>
      <w:lvlText w:val="%1."/>
      <w:lvlJc w:val="right"/>
      <w:pPr>
        <w:tabs>
          <w:tab w:val="num" w:pos="720"/>
        </w:tabs>
        <w:ind w:left="720" w:hanging="360"/>
      </w:pPr>
    </w:lvl>
    <w:lvl w:ilvl="1" w:tplc="FE36E026" w:tentative="1">
      <w:start w:val="1"/>
      <w:numFmt w:val="lowerRoman"/>
      <w:lvlText w:val="%2."/>
      <w:lvlJc w:val="right"/>
      <w:pPr>
        <w:tabs>
          <w:tab w:val="num" w:pos="1440"/>
        </w:tabs>
        <w:ind w:left="1440" w:hanging="360"/>
      </w:pPr>
    </w:lvl>
    <w:lvl w:ilvl="2" w:tplc="9D66FD5A" w:tentative="1">
      <w:start w:val="1"/>
      <w:numFmt w:val="lowerRoman"/>
      <w:lvlText w:val="%3."/>
      <w:lvlJc w:val="right"/>
      <w:pPr>
        <w:tabs>
          <w:tab w:val="num" w:pos="2160"/>
        </w:tabs>
        <w:ind w:left="2160" w:hanging="360"/>
      </w:pPr>
    </w:lvl>
    <w:lvl w:ilvl="3" w:tplc="F4C82F3A" w:tentative="1">
      <w:start w:val="1"/>
      <w:numFmt w:val="lowerRoman"/>
      <w:lvlText w:val="%4."/>
      <w:lvlJc w:val="right"/>
      <w:pPr>
        <w:tabs>
          <w:tab w:val="num" w:pos="2880"/>
        </w:tabs>
        <w:ind w:left="2880" w:hanging="360"/>
      </w:pPr>
    </w:lvl>
    <w:lvl w:ilvl="4" w:tplc="12CEACA0" w:tentative="1">
      <w:start w:val="1"/>
      <w:numFmt w:val="lowerRoman"/>
      <w:lvlText w:val="%5."/>
      <w:lvlJc w:val="right"/>
      <w:pPr>
        <w:tabs>
          <w:tab w:val="num" w:pos="3600"/>
        </w:tabs>
        <w:ind w:left="3600" w:hanging="360"/>
      </w:pPr>
    </w:lvl>
    <w:lvl w:ilvl="5" w:tplc="E51E5A2A" w:tentative="1">
      <w:start w:val="1"/>
      <w:numFmt w:val="lowerRoman"/>
      <w:lvlText w:val="%6."/>
      <w:lvlJc w:val="right"/>
      <w:pPr>
        <w:tabs>
          <w:tab w:val="num" w:pos="4320"/>
        </w:tabs>
        <w:ind w:left="4320" w:hanging="360"/>
      </w:pPr>
    </w:lvl>
    <w:lvl w:ilvl="6" w:tplc="5DB0959A" w:tentative="1">
      <w:start w:val="1"/>
      <w:numFmt w:val="lowerRoman"/>
      <w:lvlText w:val="%7."/>
      <w:lvlJc w:val="right"/>
      <w:pPr>
        <w:tabs>
          <w:tab w:val="num" w:pos="5040"/>
        </w:tabs>
        <w:ind w:left="5040" w:hanging="360"/>
      </w:pPr>
    </w:lvl>
    <w:lvl w:ilvl="7" w:tplc="B35EB3E0" w:tentative="1">
      <w:start w:val="1"/>
      <w:numFmt w:val="lowerRoman"/>
      <w:lvlText w:val="%8."/>
      <w:lvlJc w:val="right"/>
      <w:pPr>
        <w:tabs>
          <w:tab w:val="num" w:pos="5760"/>
        </w:tabs>
        <w:ind w:left="5760" w:hanging="360"/>
      </w:pPr>
    </w:lvl>
    <w:lvl w:ilvl="8" w:tplc="4D1816CC" w:tentative="1">
      <w:start w:val="1"/>
      <w:numFmt w:val="lowerRoman"/>
      <w:lvlText w:val="%9."/>
      <w:lvlJc w:val="right"/>
      <w:pPr>
        <w:tabs>
          <w:tab w:val="num" w:pos="6480"/>
        </w:tabs>
        <w:ind w:left="6480" w:hanging="360"/>
      </w:pPr>
    </w:lvl>
  </w:abstractNum>
  <w:abstractNum w:abstractNumId="22">
    <w:nsid w:val="27C90B80"/>
    <w:multiLevelType w:val="hybridMultilevel"/>
    <w:tmpl w:val="5142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C51D67"/>
    <w:multiLevelType w:val="hybridMultilevel"/>
    <w:tmpl w:val="F9608796"/>
    <w:lvl w:ilvl="0" w:tplc="AF200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B00AF"/>
    <w:multiLevelType w:val="hybridMultilevel"/>
    <w:tmpl w:val="F398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926EF3"/>
    <w:multiLevelType w:val="hybridMultilevel"/>
    <w:tmpl w:val="8F88C91E"/>
    <w:lvl w:ilvl="0" w:tplc="39C46618">
      <w:start w:val="1"/>
      <w:numFmt w:val="lowerRoman"/>
      <w:lvlText w:val="%1."/>
      <w:lvlJc w:val="right"/>
      <w:pPr>
        <w:tabs>
          <w:tab w:val="num" w:pos="720"/>
        </w:tabs>
        <w:ind w:left="720" w:hanging="360"/>
      </w:pPr>
    </w:lvl>
    <w:lvl w:ilvl="1" w:tplc="FE36E026" w:tentative="1">
      <w:start w:val="1"/>
      <w:numFmt w:val="lowerRoman"/>
      <w:lvlText w:val="%2."/>
      <w:lvlJc w:val="right"/>
      <w:pPr>
        <w:tabs>
          <w:tab w:val="num" w:pos="1440"/>
        </w:tabs>
        <w:ind w:left="1440" w:hanging="360"/>
      </w:pPr>
    </w:lvl>
    <w:lvl w:ilvl="2" w:tplc="9D66FD5A" w:tentative="1">
      <w:start w:val="1"/>
      <w:numFmt w:val="lowerRoman"/>
      <w:lvlText w:val="%3."/>
      <w:lvlJc w:val="right"/>
      <w:pPr>
        <w:tabs>
          <w:tab w:val="num" w:pos="2160"/>
        </w:tabs>
        <w:ind w:left="2160" w:hanging="360"/>
      </w:pPr>
    </w:lvl>
    <w:lvl w:ilvl="3" w:tplc="F4C82F3A" w:tentative="1">
      <w:start w:val="1"/>
      <w:numFmt w:val="lowerRoman"/>
      <w:lvlText w:val="%4."/>
      <w:lvlJc w:val="right"/>
      <w:pPr>
        <w:tabs>
          <w:tab w:val="num" w:pos="2880"/>
        </w:tabs>
        <w:ind w:left="2880" w:hanging="360"/>
      </w:pPr>
    </w:lvl>
    <w:lvl w:ilvl="4" w:tplc="12CEACA0" w:tentative="1">
      <w:start w:val="1"/>
      <w:numFmt w:val="lowerRoman"/>
      <w:lvlText w:val="%5."/>
      <w:lvlJc w:val="right"/>
      <w:pPr>
        <w:tabs>
          <w:tab w:val="num" w:pos="3600"/>
        </w:tabs>
        <w:ind w:left="3600" w:hanging="360"/>
      </w:pPr>
    </w:lvl>
    <w:lvl w:ilvl="5" w:tplc="E51E5A2A" w:tentative="1">
      <w:start w:val="1"/>
      <w:numFmt w:val="lowerRoman"/>
      <w:lvlText w:val="%6."/>
      <w:lvlJc w:val="right"/>
      <w:pPr>
        <w:tabs>
          <w:tab w:val="num" w:pos="4320"/>
        </w:tabs>
        <w:ind w:left="4320" w:hanging="360"/>
      </w:pPr>
    </w:lvl>
    <w:lvl w:ilvl="6" w:tplc="5DB0959A" w:tentative="1">
      <w:start w:val="1"/>
      <w:numFmt w:val="lowerRoman"/>
      <w:lvlText w:val="%7."/>
      <w:lvlJc w:val="right"/>
      <w:pPr>
        <w:tabs>
          <w:tab w:val="num" w:pos="5040"/>
        </w:tabs>
        <w:ind w:left="5040" w:hanging="360"/>
      </w:pPr>
    </w:lvl>
    <w:lvl w:ilvl="7" w:tplc="B35EB3E0" w:tentative="1">
      <w:start w:val="1"/>
      <w:numFmt w:val="lowerRoman"/>
      <w:lvlText w:val="%8."/>
      <w:lvlJc w:val="right"/>
      <w:pPr>
        <w:tabs>
          <w:tab w:val="num" w:pos="5760"/>
        </w:tabs>
        <w:ind w:left="5760" w:hanging="360"/>
      </w:pPr>
    </w:lvl>
    <w:lvl w:ilvl="8" w:tplc="4D1816CC" w:tentative="1">
      <w:start w:val="1"/>
      <w:numFmt w:val="lowerRoman"/>
      <w:lvlText w:val="%9."/>
      <w:lvlJc w:val="right"/>
      <w:pPr>
        <w:tabs>
          <w:tab w:val="num" w:pos="6480"/>
        </w:tabs>
        <w:ind w:left="6480" w:hanging="360"/>
      </w:pPr>
    </w:lvl>
  </w:abstractNum>
  <w:abstractNum w:abstractNumId="26">
    <w:nsid w:val="2D195EE7"/>
    <w:multiLevelType w:val="hybridMultilevel"/>
    <w:tmpl w:val="3294C3B6"/>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A6036F"/>
    <w:multiLevelType w:val="hybridMultilevel"/>
    <w:tmpl w:val="8F88C91E"/>
    <w:lvl w:ilvl="0" w:tplc="39C46618">
      <w:start w:val="1"/>
      <w:numFmt w:val="lowerRoman"/>
      <w:lvlText w:val="%1."/>
      <w:lvlJc w:val="right"/>
      <w:pPr>
        <w:tabs>
          <w:tab w:val="num" w:pos="720"/>
        </w:tabs>
        <w:ind w:left="720" w:hanging="360"/>
      </w:pPr>
    </w:lvl>
    <w:lvl w:ilvl="1" w:tplc="FE36E026" w:tentative="1">
      <w:start w:val="1"/>
      <w:numFmt w:val="lowerRoman"/>
      <w:lvlText w:val="%2."/>
      <w:lvlJc w:val="right"/>
      <w:pPr>
        <w:tabs>
          <w:tab w:val="num" w:pos="1440"/>
        </w:tabs>
        <w:ind w:left="1440" w:hanging="360"/>
      </w:pPr>
    </w:lvl>
    <w:lvl w:ilvl="2" w:tplc="9D66FD5A" w:tentative="1">
      <w:start w:val="1"/>
      <w:numFmt w:val="lowerRoman"/>
      <w:lvlText w:val="%3."/>
      <w:lvlJc w:val="right"/>
      <w:pPr>
        <w:tabs>
          <w:tab w:val="num" w:pos="2160"/>
        </w:tabs>
        <w:ind w:left="2160" w:hanging="360"/>
      </w:pPr>
    </w:lvl>
    <w:lvl w:ilvl="3" w:tplc="F4C82F3A" w:tentative="1">
      <w:start w:val="1"/>
      <w:numFmt w:val="lowerRoman"/>
      <w:lvlText w:val="%4."/>
      <w:lvlJc w:val="right"/>
      <w:pPr>
        <w:tabs>
          <w:tab w:val="num" w:pos="2880"/>
        </w:tabs>
        <w:ind w:left="2880" w:hanging="360"/>
      </w:pPr>
    </w:lvl>
    <w:lvl w:ilvl="4" w:tplc="12CEACA0" w:tentative="1">
      <w:start w:val="1"/>
      <w:numFmt w:val="lowerRoman"/>
      <w:lvlText w:val="%5."/>
      <w:lvlJc w:val="right"/>
      <w:pPr>
        <w:tabs>
          <w:tab w:val="num" w:pos="3600"/>
        </w:tabs>
        <w:ind w:left="3600" w:hanging="360"/>
      </w:pPr>
    </w:lvl>
    <w:lvl w:ilvl="5" w:tplc="E51E5A2A" w:tentative="1">
      <w:start w:val="1"/>
      <w:numFmt w:val="lowerRoman"/>
      <w:lvlText w:val="%6."/>
      <w:lvlJc w:val="right"/>
      <w:pPr>
        <w:tabs>
          <w:tab w:val="num" w:pos="4320"/>
        </w:tabs>
        <w:ind w:left="4320" w:hanging="360"/>
      </w:pPr>
    </w:lvl>
    <w:lvl w:ilvl="6" w:tplc="5DB0959A" w:tentative="1">
      <w:start w:val="1"/>
      <w:numFmt w:val="lowerRoman"/>
      <w:lvlText w:val="%7."/>
      <w:lvlJc w:val="right"/>
      <w:pPr>
        <w:tabs>
          <w:tab w:val="num" w:pos="5040"/>
        </w:tabs>
        <w:ind w:left="5040" w:hanging="360"/>
      </w:pPr>
    </w:lvl>
    <w:lvl w:ilvl="7" w:tplc="B35EB3E0" w:tentative="1">
      <w:start w:val="1"/>
      <w:numFmt w:val="lowerRoman"/>
      <w:lvlText w:val="%8."/>
      <w:lvlJc w:val="right"/>
      <w:pPr>
        <w:tabs>
          <w:tab w:val="num" w:pos="5760"/>
        </w:tabs>
        <w:ind w:left="5760" w:hanging="360"/>
      </w:pPr>
    </w:lvl>
    <w:lvl w:ilvl="8" w:tplc="4D1816CC" w:tentative="1">
      <w:start w:val="1"/>
      <w:numFmt w:val="lowerRoman"/>
      <w:lvlText w:val="%9."/>
      <w:lvlJc w:val="right"/>
      <w:pPr>
        <w:tabs>
          <w:tab w:val="num" w:pos="6480"/>
        </w:tabs>
        <w:ind w:left="6480" w:hanging="360"/>
      </w:pPr>
    </w:lvl>
  </w:abstractNum>
  <w:abstractNum w:abstractNumId="28">
    <w:nsid w:val="2EDE3161"/>
    <w:multiLevelType w:val="hybridMultilevel"/>
    <w:tmpl w:val="FD2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007735"/>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8D3566"/>
    <w:multiLevelType w:val="multilevel"/>
    <w:tmpl w:val="71EE572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3DB22C6"/>
    <w:multiLevelType w:val="hybridMultilevel"/>
    <w:tmpl w:val="665C47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456F68"/>
    <w:multiLevelType w:val="hybridMultilevel"/>
    <w:tmpl w:val="8F88C91E"/>
    <w:lvl w:ilvl="0" w:tplc="39C46618">
      <w:start w:val="1"/>
      <w:numFmt w:val="lowerRoman"/>
      <w:lvlText w:val="%1."/>
      <w:lvlJc w:val="right"/>
      <w:pPr>
        <w:tabs>
          <w:tab w:val="num" w:pos="720"/>
        </w:tabs>
        <w:ind w:left="720" w:hanging="360"/>
      </w:pPr>
    </w:lvl>
    <w:lvl w:ilvl="1" w:tplc="FE36E026" w:tentative="1">
      <w:start w:val="1"/>
      <w:numFmt w:val="lowerRoman"/>
      <w:lvlText w:val="%2."/>
      <w:lvlJc w:val="right"/>
      <w:pPr>
        <w:tabs>
          <w:tab w:val="num" w:pos="1440"/>
        </w:tabs>
        <w:ind w:left="1440" w:hanging="360"/>
      </w:pPr>
    </w:lvl>
    <w:lvl w:ilvl="2" w:tplc="9D66FD5A" w:tentative="1">
      <w:start w:val="1"/>
      <w:numFmt w:val="lowerRoman"/>
      <w:lvlText w:val="%3."/>
      <w:lvlJc w:val="right"/>
      <w:pPr>
        <w:tabs>
          <w:tab w:val="num" w:pos="2160"/>
        </w:tabs>
        <w:ind w:left="2160" w:hanging="360"/>
      </w:pPr>
    </w:lvl>
    <w:lvl w:ilvl="3" w:tplc="F4C82F3A" w:tentative="1">
      <w:start w:val="1"/>
      <w:numFmt w:val="lowerRoman"/>
      <w:lvlText w:val="%4."/>
      <w:lvlJc w:val="right"/>
      <w:pPr>
        <w:tabs>
          <w:tab w:val="num" w:pos="2880"/>
        </w:tabs>
        <w:ind w:left="2880" w:hanging="360"/>
      </w:pPr>
    </w:lvl>
    <w:lvl w:ilvl="4" w:tplc="12CEACA0" w:tentative="1">
      <w:start w:val="1"/>
      <w:numFmt w:val="lowerRoman"/>
      <w:lvlText w:val="%5."/>
      <w:lvlJc w:val="right"/>
      <w:pPr>
        <w:tabs>
          <w:tab w:val="num" w:pos="3600"/>
        </w:tabs>
        <w:ind w:left="3600" w:hanging="360"/>
      </w:pPr>
    </w:lvl>
    <w:lvl w:ilvl="5" w:tplc="E51E5A2A" w:tentative="1">
      <w:start w:val="1"/>
      <w:numFmt w:val="lowerRoman"/>
      <w:lvlText w:val="%6."/>
      <w:lvlJc w:val="right"/>
      <w:pPr>
        <w:tabs>
          <w:tab w:val="num" w:pos="4320"/>
        </w:tabs>
        <w:ind w:left="4320" w:hanging="360"/>
      </w:pPr>
    </w:lvl>
    <w:lvl w:ilvl="6" w:tplc="5DB0959A" w:tentative="1">
      <w:start w:val="1"/>
      <w:numFmt w:val="lowerRoman"/>
      <w:lvlText w:val="%7."/>
      <w:lvlJc w:val="right"/>
      <w:pPr>
        <w:tabs>
          <w:tab w:val="num" w:pos="5040"/>
        </w:tabs>
        <w:ind w:left="5040" w:hanging="360"/>
      </w:pPr>
    </w:lvl>
    <w:lvl w:ilvl="7" w:tplc="B35EB3E0" w:tentative="1">
      <w:start w:val="1"/>
      <w:numFmt w:val="lowerRoman"/>
      <w:lvlText w:val="%8."/>
      <w:lvlJc w:val="right"/>
      <w:pPr>
        <w:tabs>
          <w:tab w:val="num" w:pos="5760"/>
        </w:tabs>
        <w:ind w:left="5760" w:hanging="360"/>
      </w:pPr>
    </w:lvl>
    <w:lvl w:ilvl="8" w:tplc="4D1816CC" w:tentative="1">
      <w:start w:val="1"/>
      <w:numFmt w:val="lowerRoman"/>
      <w:lvlText w:val="%9."/>
      <w:lvlJc w:val="right"/>
      <w:pPr>
        <w:tabs>
          <w:tab w:val="num" w:pos="6480"/>
        </w:tabs>
        <w:ind w:left="6480" w:hanging="360"/>
      </w:pPr>
    </w:lvl>
  </w:abstractNum>
  <w:abstractNum w:abstractNumId="33">
    <w:nsid w:val="40B81CAF"/>
    <w:multiLevelType w:val="hybridMultilevel"/>
    <w:tmpl w:val="F79A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0D275A"/>
    <w:multiLevelType w:val="hybridMultilevel"/>
    <w:tmpl w:val="CEA8A436"/>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056EEF"/>
    <w:multiLevelType w:val="hybridMultilevel"/>
    <w:tmpl w:val="513AA902"/>
    <w:lvl w:ilvl="0" w:tplc="C564186C">
      <w:start w:val="1"/>
      <w:numFmt w:val="bullet"/>
      <w:lvlText w:val=""/>
      <w:lvlJc w:val="left"/>
      <w:pPr>
        <w:ind w:left="720" w:hanging="360"/>
      </w:pPr>
      <w:rPr>
        <w:rFonts w:ascii="Symbol" w:hAnsi="Symbol" w:hint="default"/>
      </w:rPr>
    </w:lvl>
    <w:lvl w:ilvl="1" w:tplc="041C0019" w:tentative="1">
      <w:start w:val="1"/>
      <w:numFmt w:val="bullet"/>
      <w:lvlText w:val="o"/>
      <w:lvlJc w:val="left"/>
      <w:pPr>
        <w:ind w:left="1440" w:hanging="360"/>
      </w:pPr>
      <w:rPr>
        <w:rFonts w:ascii="Courier New" w:hAnsi="Courier New" w:cs="Courier New" w:hint="default"/>
      </w:rPr>
    </w:lvl>
    <w:lvl w:ilvl="2" w:tplc="041C001B" w:tentative="1">
      <w:start w:val="1"/>
      <w:numFmt w:val="bullet"/>
      <w:lvlText w:val=""/>
      <w:lvlJc w:val="left"/>
      <w:pPr>
        <w:ind w:left="2160" w:hanging="360"/>
      </w:pPr>
      <w:rPr>
        <w:rFonts w:ascii="Wingdings" w:hAnsi="Wingdings" w:hint="default"/>
      </w:rPr>
    </w:lvl>
    <w:lvl w:ilvl="3" w:tplc="041C000F" w:tentative="1">
      <w:start w:val="1"/>
      <w:numFmt w:val="bullet"/>
      <w:lvlText w:val=""/>
      <w:lvlJc w:val="left"/>
      <w:pPr>
        <w:ind w:left="2880" w:hanging="360"/>
      </w:pPr>
      <w:rPr>
        <w:rFonts w:ascii="Symbol" w:hAnsi="Symbol" w:hint="default"/>
      </w:rPr>
    </w:lvl>
    <w:lvl w:ilvl="4" w:tplc="041C0019" w:tentative="1">
      <w:start w:val="1"/>
      <w:numFmt w:val="bullet"/>
      <w:lvlText w:val="o"/>
      <w:lvlJc w:val="left"/>
      <w:pPr>
        <w:ind w:left="3600" w:hanging="360"/>
      </w:pPr>
      <w:rPr>
        <w:rFonts w:ascii="Courier New" w:hAnsi="Courier New" w:cs="Courier New" w:hint="default"/>
      </w:rPr>
    </w:lvl>
    <w:lvl w:ilvl="5" w:tplc="041C001B" w:tentative="1">
      <w:start w:val="1"/>
      <w:numFmt w:val="bullet"/>
      <w:lvlText w:val=""/>
      <w:lvlJc w:val="left"/>
      <w:pPr>
        <w:ind w:left="4320" w:hanging="360"/>
      </w:pPr>
      <w:rPr>
        <w:rFonts w:ascii="Wingdings" w:hAnsi="Wingdings" w:hint="default"/>
      </w:rPr>
    </w:lvl>
    <w:lvl w:ilvl="6" w:tplc="041C000F" w:tentative="1">
      <w:start w:val="1"/>
      <w:numFmt w:val="bullet"/>
      <w:lvlText w:val=""/>
      <w:lvlJc w:val="left"/>
      <w:pPr>
        <w:ind w:left="5040" w:hanging="360"/>
      </w:pPr>
      <w:rPr>
        <w:rFonts w:ascii="Symbol" w:hAnsi="Symbol" w:hint="default"/>
      </w:rPr>
    </w:lvl>
    <w:lvl w:ilvl="7" w:tplc="041C0019" w:tentative="1">
      <w:start w:val="1"/>
      <w:numFmt w:val="bullet"/>
      <w:lvlText w:val="o"/>
      <w:lvlJc w:val="left"/>
      <w:pPr>
        <w:ind w:left="5760" w:hanging="360"/>
      </w:pPr>
      <w:rPr>
        <w:rFonts w:ascii="Courier New" w:hAnsi="Courier New" w:cs="Courier New" w:hint="default"/>
      </w:rPr>
    </w:lvl>
    <w:lvl w:ilvl="8" w:tplc="041C001B" w:tentative="1">
      <w:start w:val="1"/>
      <w:numFmt w:val="bullet"/>
      <w:lvlText w:val=""/>
      <w:lvlJc w:val="left"/>
      <w:pPr>
        <w:ind w:left="6480" w:hanging="360"/>
      </w:pPr>
      <w:rPr>
        <w:rFonts w:ascii="Wingdings" w:hAnsi="Wingdings" w:hint="default"/>
      </w:rPr>
    </w:lvl>
  </w:abstractNum>
  <w:abstractNum w:abstractNumId="36">
    <w:nsid w:val="4A877038"/>
    <w:multiLevelType w:val="hybridMultilevel"/>
    <w:tmpl w:val="8F88C91E"/>
    <w:lvl w:ilvl="0" w:tplc="39C46618">
      <w:start w:val="1"/>
      <w:numFmt w:val="lowerRoman"/>
      <w:lvlText w:val="%1."/>
      <w:lvlJc w:val="right"/>
      <w:pPr>
        <w:tabs>
          <w:tab w:val="num" w:pos="720"/>
        </w:tabs>
        <w:ind w:left="720" w:hanging="360"/>
      </w:pPr>
    </w:lvl>
    <w:lvl w:ilvl="1" w:tplc="FE36E026" w:tentative="1">
      <w:start w:val="1"/>
      <w:numFmt w:val="lowerRoman"/>
      <w:lvlText w:val="%2."/>
      <w:lvlJc w:val="right"/>
      <w:pPr>
        <w:tabs>
          <w:tab w:val="num" w:pos="1440"/>
        </w:tabs>
        <w:ind w:left="1440" w:hanging="360"/>
      </w:pPr>
    </w:lvl>
    <w:lvl w:ilvl="2" w:tplc="9D66FD5A" w:tentative="1">
      <w:start w:val="1"/>
      <w:numFmt w:val="lowerRoman"/>
      <w:lvlText w:val="%3."/>
      <w:lvlJc w:val="right"/>
      <w:pPr>
        <w:tabs>
          <w:tab w:val="num" w:pos="2160"/>
        </w:tabs>
        <w:ind w:left="2160" w:hanging="360"/>
      </w:pPr>
    </w:lvl>
    <w:lvl w:ilvl="3" w:tplc="F4C82F3A" w:tentative="1">
      <w:start w:val="1"/>
      <w:numFmt w:val="lowerRoman"/>
      <w:lvlText w:val="%4."/>
      <w:lvlJc w:val="right"/>
      <w:pPr>
        <w:tabs>
          <w:tab w:val="num" w:pos="2880"/>
        </w:tabs>
        <w:ind w:left="2880" w:hanging="360"/>
      </w:pPr>
    </w:lvl>
    <w:lvl w:ilvl="4" w:tplc="12CEACA0" w:tentative="1">
      <w:start w:val="1"/>
      <w:numFmt w:val="lowerRoman"/>
      <w:lvlText w:val="%5."/>
      <w:lvlJc w:val="right"/>
      <w:pPr>
        <w:tabs>
          <w:tab w:val="num" w:pos="3600"/>
        </w:tabs>
        <w:ind w:left="3600" w:hanging="360"/>
      </w:pPr>
    </w:lvl>
    <w:lvl w:ilvl="5" w:tplc="E51E5A2A" w:tentative="1">
      <w:start w:val="1"/>
      <w:numFmt w:val="lowerRoman"/>
      <w:lvlText w:val="%6."/>
      <w:lvlJc w:val="right"/>
      <w:pPr>
        <w:tabs>
          <w:tab w:val="num" w:pos="4320"/>
        </w:tabs>
        <w:ind w:left="4320" w:hanging="360"/>
      </w:pPr>
    </w:lvl>
    <w:lvl w:ilvl="6" w:tplc="5DB0959A" w:tentative="1">
      <w:start w:val="1"/>
      <w:numFmt w:val="lowerRoman"/>
      <w:lvlText w:val="%7."/>
      <w:lvlJc w:val="right"/>
      <w:pPr>
        <w:tabs>
          <w:tab w:val="num" w:pos="5040"/>
        </w:tabs>
        <w:ind w:left="5040" w:hanging="360"/>
      </w:pPr>
    </w:lvl>
    <w:lvl w:ilvl="7" w:tplc="B35EB3E0" w:tentative="1">
      <w:start w:val="1"/>
      <w:numFmt w:val="lowerRoman"/>
      <w:lvlText w:val="%8."/>
      <w:lvlJc w:val="right"/>
      <w:pPr>
        <w:tabs>
          <w:tab w:val="num" w:pos="5760"/>
        </w:tabs>
        <w:ind w:left="5760" w:hanging="360"/>
      </w:pPr>
    </w:lvl>
    <w:lvl w:ilvl="8" w:tplc="4D1816CC" w:tentative="1">
      <w:start w:val="1"/>
      <w:numFmt w:val="lowerRoman"/>
      <w:lvlText w:val="%9."/>
      <w:lvlJc w:val="right"/>
      <w:pPr>
        <w:tabs>
          <w:tab w:val="num" w:pos="6480"/>
        </w:tabs>
        <w:ind w:left="6480" w:hanging="360"/>
      </w:pPr>
    </w:lvl>
  </w:abstractNum>
  <w:abstractNum w:abstractNumId="37">
    <w:nsid w:val="4D3C4341"/>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767CFB"/>
    <w:multiLevelType w:val="hybridMultilevel"/>
    <w:tmpl w:val="FD2406EC"/>
    <w:lvl w:ilvl="0" w:tplc="EAB23DEE">
      <w:start w:val="1"/>
      <w:numFmt w:val="lowerRoman"/>
      <w:lvlText w:val="%1."/>
      <w:lvlJc w:val="right"/>
      <w:pPr>
        <w:tabs>
          <w:tab w:val="num" w:pos="720"/>
        </w:tabs>
        <w:ind w:left="720" w:hanging="360"/>
      </w:pPr>
    </w:lvl>
    <w:lvl w:ilvl="1" w:tplc="61E634D0" w:tentative="1">
      <w:start w:val="1"/>
      <w:numFmt w:val="lowerRoman"/>
      <w:lvlText w:val="%2."/>
      <w:lvlJc w:val="right"/>
      <w:pPr>
        <w:tabs>
          <w:tab w:val="num" w:pos="1440"/>
        </w:tabs>
        <w:ind w:left="1440" w:hanging="360"/>
      </w:pPr>
    </w:lvl>
    <w:lvl w:ilvl="2" w:tplc="9B3E2902" w:tentative="1">
      <w:start w:val="1"/>
      <w:numFmt w:val="lowerRoman"/>
      <w:lvlText w:val="%3."/>
      <w:lvlJc w:val="right"/>
      <w:pPr>
        <w:tabs>
          <w:tab w:val="num" w:pos="2160"/>
        </w:tabs>
        <w:ind w:left="2160" w:hanging="360"/>
      </w:pPr>
    </w:lvl>
    <w:lvl w:ilvl="3" w:tplc="A5264BAA" w:tentative="1">
      <w:start w:val="1"/>
      <w:numFmt w:val="lowerRoman"/>
      <w:lvlText w:val="%4."/>
      <w:lvlJc w:val="right"/>
      <w:pPr>
        <w:tabs>
          <w:tab w:val="num" w:pos="2880"/>
        </w:tabs>
        <w:ind w:left="2880" w:hanging="360"/>
      </w:pPr>
    </w:lvl>
    <w:lvl w:ilvl="4" w:tplc="4A76EFC6" w:tentative="1">
      <w:start w:val="1"/>
      <w:numFmt w:val="lowerRoman"/>
      <w:lvlText w:val="%5."/>
      <w:lvlJc w:val="right"/>
      <w:pPr>
        <w:tabs>
          <w:tab w:val="num" w:pos="3600"/>
        </w:tabs>
        <w:ind w:left="3600" w:hanging="360"/>
      </w:pPr>
    </w:lvl>
    <w:lvl w:ilvl="5" w:tplc="3398BF2C" w:tentative="1">
      <w:start w:val="1"/>
      <w:numFmt w:val="lowerRoman"/>
      <w:lvlText w:val="%6."/>
      <w:lvlJc w:val="right"/>
      <w:pPr>
        <w:tabs>
          <w:tab w:val="num" w:pos="4320"/>
        </w:tabs>
        <w:ind w:left="4320" w:hanging="360"/>
      </w:pPr>
    </w:lvl>
    <w:lvl w:ilvl="6" w:tplc="8A766174" w:tentative="1">
      <w:start w:val="1"/>
      <w:numFmt w:val="lowerRoman"/>
      <w:lvlText w:val="%7."/>
      <w:lvlJc w:val="right"/>
      <w:pPr>
        <w:tabs>
          <w:tab w:val="num" w:pos="5040"/>
        </w:tabs>
        <w:ind w:left="5040" w:hanging="360"/>
      </w:pPr>
    </w:lvl>
    <w:lvl w:ilvl="7" w:tplc="3A30CF04" w:tentative="1">
      <w:start w:val="1"/>
      <w:numFmt w:val="lowerRoman"/>
      <w:lvlText w:val="%8."/>
      <w:lvlJc w:val="right"/>
      <w:pPr>
        <w:tabs>
          <w:tab w:val="num" w:pos="5760"/>
        </w:tabs>
        <w:ind w:left="5760" w:hanging="360"/>
      </w:pPr>
    </w:lvl>
    <w:lvl w:ilvl="8" w:tplc="4DB219BC" w:tentative="1">
      <w:start w:val="1"/>
      <w:numFmt w:val="lowerRoman"/>
      <w:lvlText w:val="%9."/>
      <w:lvlJc w:val="right"/>
      <w:pPr>
        <w:tabs>
          <w:tab w:val="num" w:pos="6480"/>
        </w:tabs>
        <w:ind w:left="6480" w:hanging="360"/>
      </w:pPr>
    </w:lvl>
  </w:abstractNum>
  <w:abstractNum w:abstractNumId="39">
    <w:nsid w:val="5A355C3F"/>
    <w:multiLevelType w:val="hybridMultilevel"/>
    <w:tmpl w:val="4CFCED88"/>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580D8E"/>
    <w:multiLevelType w:val="hybridMultilevel"/>
    <w:tmpl w:val="82E2AC9E"/>
    <w:lvl w:ilvl="0" w:tplc="9D5AF0F6">
      <w:start w:val="1"/>
      <w:numFmt w:val="lowerRoman"/>
      <w:lvlText w:val="%1."/>
      <w:lvlJc w:val="right"/>
      <w:pPr>
        <w:tabs>
          <w:tab w:val="num" w:pos="720"/>
        </w:tabs>
        <w:ind w:left="720" w:hanging="360"/>
      </w:pPr>
    </w:lvl>
    <w:lvl w:ilvl="1" w:tplc="8D42C0C2" w:tentative="1">
      <w:start w:val="1"/>
      <w:numFmt w:val="lowerRoman"/>
      <w:lvlText w:val="%2."/>
      <w:lvlJc w:val="right"/>
      <w:pPr>
        <w:tabs>
          <w:tab w:val="num" w:pos="1440"/>
        </w:tabs>
        <w:ind w:left="1440" w:hanging="360"/>
      </w:pPr>
    </w:lvl>
    <w:lvl w:ilvl="2" w:tplc="5E80D212" w:tentative="1">
      <w:start w:val="1"/>
      <w:numFmt w:val="lowerRoman"/>
      <w:lvlText w:val="%3."/>
      <w:lvlJc w:val="right"/>
      <w:pPr>
        <w:tabs>
          <w:tab w:val="num" w:pos="2160"/>
        </w:tabs>
        <w:ind w:left="2160" w:hanging="360"/>
      </w:pPr>
    </w:lvl>
    <w:lvl w:ilvl="3" w:tplc="AFF4D772" w:tentative="1">
      <w:start w:val="1"/>
      <w:numFmt w:val="lowerRoman"/>
      <w:lvlText w:val="%4."/>
      <w:lvlJc w:val="right"/>
      <w:pPr>
        <w:tabs>
          <w:tab w:val="num" w:pos="2880"/>
        </w:tabs>
        <w:ind w:left="2880" w:hanging="360"/>
      </w:pPr>
    </w:lvl>
    <w:lvl w:ilvl="4" w:tplc="E88E32D8" w:tentative="1">
      <w:start w:val="1"/>
      <w:numFmt w:val="lowerRoman"/>
      <w:lvlText w:val="%5."/>
      <w:lvlJc w:val="right"/>
      <w:pPr>
        <w:tabs>
          <w:tab w:val="num" w:pos="3600"/>
        </w:tabs>
        <w:ind w:left="3600" w:hanging="360"/>
      </w:pPr>
    </w:lvl>
    <w:lvl w:ilvl="5" w:tplc="EBE43202" w:tentative="1">
      <w:start w:val="1"/>
      <w:numFmt w:val="lowerRoman"/>
      <w:lvlText w:val="%6."/>
      <w:lvlJc w:val="right"/>
      <w:pPr>
        <w:tabs>
          <w:tab w:val="num" w:pos="4320"/>
        </w:tabs>
        <w:ind w:left="4320" w:hanging="360"/>
      </w:pPr>
    </w:lvl>
    <w:lvl w:ilvl="6" w:tplc="D6D8B708" w:tentative="1">
      <w:start w:val="1"/>
      <w:numFmt w:val="lowerRoman"/>
      <w:lvlText w:val="%7."/>
      <w:lvlJc w:val="right"/>
      <w:pPr>
        <w:tabs>
          <w:tab w:val="num" w:pos="5040"/>
        </w:tabs>
        <w:ind w:left="5040" w:hanging="360"/>
      </w:pPr>
    </w:lvl>
    <w:lvl w:ilvl="7" w:tplc="53402726" w:tentative="1">
      <w:start w:val="1"/>
      <w:numFmt w:val="lowerRoman"/>
      <w:lvlText w:val="%8."/>
      <w:lvlJc w:val="right"/>
      <w:pPr>
        <w:tabs>
          <w:tab w:val="num" w:pos="5760"/>
        </w:tabs>
        <w:ind w:left="5760" w:hanging="360"/>
      </w:pPr>
    </w:lvl>
    <w:lvl w:ilvl="8" w:tplc="615ED9E4" w:tentative="1">
      <w:start w:val="1"/>
      <w:numFmt w:val="lowerRoman"/>
      <w:lvlText w:val="%9."/>
      <w:lvlJc w:val="right"/>
      <w:pPr>
        <w:tabs>
          <w:tab w:val="num" w:pos="6480"/>
        </w:tabs>
        <w:ind w:left="6480" w:hanging="360"/>
      </w:pPr>
    </w:lvl>
  </w:abstractNum>
  <w:abstractNum w:abstractNumId="41">
    <w:nsid w:val="5EDC6594"/>
    <w:multiLevelType w:val="hybridMultilevel"/>
    <w:tmpl w:val="2BC47F04"/>
    <w:lvl w:ilvl="0" w:tplc="76169604">
      <w:start w:val="12"/>
      <w:numFmt w:val="bullet"/>
      <w:lvlText w:val="-"/>
      <w:lvlJc w:val="left"/>
      <w:pPr>
        <w:ind w:left="720" w:hanging="360"/>
      </w:pPr>
      <w:rPr>
        <w:rFonts w:ascii="Times New Roman" w:eastAsia="Times New Roman" w:hAnsi="Times New Roman" w:cs="Times New Roman" w:hint="default"/>
      </w:rPr>
    </w:lvl>
    <w:lvl w:ilvl="1" w:tplc="9B7423E8" w:tentative="1">
      <w:start w:val="1"/>
      <w:numFmt w:val="bullet"/>
      <w:lvlText w:val="o"/>
      <w:lvlJc w:val="left"/>
      <w:pPr>
        <w:ind w:left="1440" w:hanging="360"/>
      </w:pPr>
      <w:rPr>
        <w:rFonts w:ascii="Courier New" w:hAnsi="Courier New" w:cs="Courier New" w:hint="default"/>
      </w:rPr>
    </w:lvl>
    <w:lvl w:ilvl="2" w:tplc="E8E8B63A" w:tentative="1">
      <w:start w:val="1"/>
      <w:numFmt w:val="bullet"/>
      <w:lvlText w:val=""/>
      <w:lvlJc w:val="left"/>
      <w:pPr>
        <w:ind w:left="2160" w:hanging="360"/>
      </w:pPr>
      <w:rPr>
        <w:rFonts w:ascii="Wingdings" w:hAnsi="Wingdings" w:hint="default"/>
      </w:rPr>
    </w:lvl>
    <w:lvl w:ilvl="3" w:tplc="76F2B788" w:tentative="1">
      <w:start w:val="1"/>
      <w:numFmt w:val="bullet"/>
      <w:lvlText w:val=""/>
      <w:lvlJc w:val="left"/>
      <w:pPr>
        <w:ind w:left="2880" w:hanging="360"/>
      </w:pPr>
      <w:rPr>
        <w:rFonts w:ascii="Symbol" w:hAnsi="Symbol" w:hint="default"/>
      </w:rPr>
    </w:lvl>
    <w:lvl w:ilvl="4" w:tplc="88FA78F6" w:tentative="1">
      <w:start w:val="1"/>
      <w:numFmt w:val="bullet"/>
      <w:lvlText w:val="o"/>
      <w:lvlJc w:val="left"/>
      <w:pPr>
        <w:ind w:left="3600" w:hanging="360"/>
      </w:pPr>
      <w:rPr>
        <w:rFonts w:ascii="Courier New" w:hAnsi="Courier New" w:cs="Courier New" w:hint="default"/>
      </w:rPr>
    </w:lvl>
    <w:lvl w:ilvl="5" w:tplc="EE2839E8" w:tentative="1">
      <w:start w:val="1"/>
      <w:numFmt w:val="bullet"/>
      <w:lvlText w:val=""/>
      <w:lvlJc w:val="left"/>
      <w:pPr>
        <w:ind w:left="4320" w:hanging="360"/>
      </w:pPr>
      <w:rPr>
        <w:rFonts w:ascii="Wingdings" w:hAnsi="Wingdings" w:hint="default"/>
      </w:rPr>
    </w:lvl>
    <w:lvl w:ilvl="6" w:tplc="D9181888" w:tentative="1">
      <w:start w:val="1"/>
      <w:numFmt w:val="bullet"/>
      <w:lvlText w:val=""/>
      <w:lvlJc w:val="left"/>
      <w:pPr>
        <w:ind w:left="5040" w:hanging="360"/>
      </w:pPr>
      <w:rPr>
        <w:rFonts w:ascii="Symbol" w:hAnsi="Symbol" w:hint="default"/>
      </w:rPr>
    </w:lvl>
    <w:lvl w:ilvl="7" w:tplc="946C796E" w:tentative="1">
      <w:start w:val="1"/>
      <w:numFmt w:val="bullet"/>
      <w:lvlText w:val="o"/>
      <w:lvlJc w:val="left"/>
      <w:pPr>
        <w:ind w:left="5760" w:hanging="360"/>
      </w:pPr>
      <w:rPr>
        <w:rFonts w:ascii="Courier New" w:hAnsi="Courier New" w:cs="Courier New" w:hint="default"/>
      </w:rPr>
    </w:lvl>
    <w:lvl w:ilvl="8" w:tplc="0B482BB4" w:tentative="1">
      <w:start w:val="1"/>
      <w:numFmt w:val="bullet"/>
      <w:lvlText w:val=""/>
      <w:lvlJc w:val="left"/>
      <w:pPr>
        <w:ind w:left="6480" w:hanging="360"/>
      </w:pPr>
      <w:rPr>
        <w:rFonts w:ascii="Wingdings" w:hAnsi="Wingdings" w:hint="default"/>
      </w:rPr>
    </w:lvl>
  </w:abstractNum>
  <w:abstractNum w:abstractNumId="42">
    <w:nsid w:val="5FDE7FA6"/>
    <w:multiLevelType w:val="multilevel"/>
    <w:tmpl w:val="950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1E1723"/>
    <w:multiLevelType w:val="hybridMultilevel"/>
    <w:tmpl w:val="BA0CD8D8"/>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CE72BD"/>
    <w:multiLevelType w:val="hybridMultilevel"/>
    <w:tmpl w:val="82E2AC9E"/>
    <w:lvl w:ilvl="0" w:tplc="9D5AF0F6">
      <w:start w:val="1"/>
      <w:numFmt w:val="lowerRoman"/>
      <w:lvlText w:val="%1."/>
      <w:lvlJc w:val="right"/>
      <w:pPr>
        <w:tabs>
          <w:tab w:val="num" w:pos="720"/>
        </w:tabs>
        <w:ind w:left="720" w:hanging="360"/>
      </w:pPr>
    </w:lvl>
    <w:lvl w:ilvl="1" w:tplc="8D42C0C2" w:tentative="1">
      <w:start w:val="1"/>
      <w:numFmt w:val="lowerRoman"/>
      <w:lvlText w:val="%2."/>
      <w:lvlJc w:val="right"/>
      <w:pPr>
        <w:tabs>
          <w:tab w:val="num" w:pos="1440"/>
        </w:tabs>
        <w:ind w:left="1440" w:hanging="360"/>
      </w:pPr>
    </w:lvl>
    <w:lvl w:ilvl="2" w:tplc="5E80D212" w:tentative="1">
      <w:start w:val="1"/>
      <w:numFmt w:val="lowerRoman"/>
      <w:lvlText w:val="%3."/>
      <w:lvlJc w:val="right"/>
      <w:pPr>
        <w:tabs>
          <w:tab w:val="num" w:pos="2160"/>
        </w:tabs>
        <w:ind w:left="2160" w:hanging="360"/>
      </w:pPr>
    </w:lvl>
    <w:lvl w:ilvl="3" w:tplc="AFF4D772" w:tentative="1">
      <w:start w:val="1"/>
      <w:numFmt w:val="lowerRoman"/>
      <w:lvlText w:val="%4."/>
      <w:lvlJc w:val="right"/>
      <w:pPr>
        <w:tabs>
          <w:tab w:val="num" w:pos="2880"/>
        </w:tabs>
        <w:ind w:left="2880" w:hanging="360"/>
      </w:pPr>
    </w:lvl>
    <w:lvl w:ilvl="4" w:tplc="E88E32D8" w:tentative="1">
      <w:start w:val="1"/>
      <w:numFmt w:val="lowerRoman"/>
      <w:lvlText w:val="%5."/>
      <w:lvlJc w:val="right"/>
      <w:pPr>
        <w:tabs>
          <w:tab w:val="num" w:pos="3600"/>
        </w:tabs>
        <w:ind w:left="3600" w:hanging="360"/>
      </w:pPr>
    </w:lvl>
    <w:lvl w:ilvl="5" w:tplc="EBE43202" w:tentative="1">
      <w:start w:val="1"/>
      <w:numFmt w:val="lowerRoman"/>
      <w:lvlText w:val="%6."/>
      <w:lvlJc w:val="right"/>
      <w:pPr>
        <w:tabs>
          <w:tab w:val="num" w:pos="4320"/>
        </w:tabs>
        <w:ind w:left="4320" w:hanging="360"/>
      </w:pPr>
    </w:lvl>
    <w:lvl w:ilvl="6" w:tplc="D6D8B708" w:tentative="1">
      <w:start w:val="1"/>
      <w:numFmt w:val="lowerRoman"/>
      <w:lvlText w:val="%7."/>
      <w:lvlJc w:val="right"/>
      <w:pPr>
        <w:tabs>
          <w:tab w:val="num" w:pos="5040"/>
        </w:tabs>
        <w:ind w:left="5040" w:hanging="360"/>
      </w:pPr>
    </w:lvl>
    <w:lvl w:ilvl="7" w:tplc="53402726" w:tentative="1">
      <w:start w:val="1"/>
      <w:numFmt w:val="lowerRoman"/>
      <w:lvlText w:val="%8."/>
      <w:lvlJc w:val="right"/>
      <w:pPr>
        <w:tabs>
          <w:tab w:val="num" w:pos="5760"/>
        </w:tabs>
        <w:ind w:left="5760" w:hanging="360"/>
      </w:pPr>
    </w:lvl>
    <w:lvl w:ilvl="8" w:tplc="615ED9E4" w:tentative="1">
      <w:start w:val="1"/>
      <w:numFmt w:val="lowerRoman"/>
      <w:lvlText w:val="%9."/>
      <w:lvlJc w:val="right"/>
      <w:pPr>
        <w:tabs>
          <w:tab w:val="num" w:pos="6480"/>
        </w:tabs>
        <w:ind w:left="6480" w:hanging="360"/>
      </w:pPr>
    </w:lvl>
  </w:abstractNum>
  <w:abstractNum w:abstractNumId="45">
    <w:nsid w:val="66B75267"/>
    <w:multiLevelType w:val="multilevel"/>
    <w:tmpl w:val="FF482864"/>
    <w:lvl w:ilvl="0">
      <w:start w:val="1"/>
      <w:numFmt w:val="bullet"/>
      <w:lvlText w:val=""/>
      <w:lvlJc w:val="left"/>
      <w:pPr>
        <w:tabs>
          <w:tab w:val="num" w:pos="855"/>
        </w:tabs>
        <w:ind w:left="855" w:hanging="360"/>
      </w:pPr>
      <w:rPr>
        <w:rFonts w:ascii="Symbol" w:hAnsi="Symbol" w:hint="default"/>
        <w:sz w:val="20"/>
      </w:rPr>
    </w:lvl>
    <w:lvl w:ilvl="1">
      <w:start w:val="1"/>
      <w:numFmt w:val="bullet"/>
      <w:lvlText w:val=""/>
      <w:lvlJc w:val="left"/>
      <w:pPr>
        <w:tabs>
          <w:tab w:val="num" w:pos="1575"/>
        </w:tabs>
        <w:ind w:left="1575" w:hanging="360"/>
      </w:pPr>
      <w:rPr>
        <w:rFonts w:ascii="Symbol" w:hAnsi="Symbol" w:hint="default"/>
        <w:sz w:val="20"/>
      </w:rPr>
    </w:lvl>
    <w:lvl w:ilvl="2" w:tentative="1">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46">
    <w:nsid w:val="66F87D2B"/>
    <w:multiLevelType w:val="hybridMultilevel"/>
    <w:tmpl w:val="808AD738"/>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6A1B48"/>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765ADD"/>
    <w:multiLevelType w:val="multilevel"/>
    <w:tmpl w:val="3CF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A35B3D"/>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C33710"/>
    <w:multiLevelType w:val="multilevel"/>
    <w:tmpl w:val="C0ECABD6"/>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A087C62"/>
    <w:multiLevelType w:val="hybridMultilevel"/>
    <w:tmpl w:val="71E019E8"/>
    <w:lvl w:ilvl="0" w:tplc="50D6840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AE4CA2"/>
    <w:multiLevelType w:val="multilevel"/>
    <w:tmpl w:val="53601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rPr>
    </w:lvl>
    <w:lvl w:ilvl="2">
      <w:start w:val="1"/>
      <w:numFmt w:val="low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2E0476"/>
    <w:multiLevelType w:val="hybridMultilevel"/>
    <w:tmpl w:val="F6967752"/>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321C27"/>
    <w:multiLevelType w:val="hybridMultilevel"/>
    <w:tmpl w:val="E46E10C4"/>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05747E"/>
    <w:multiLevelType w:val="hybridMultilevel"/>
    <w:tmpl w:val="993E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9E3A1B"/>
    <w:multiLevelType w:val="hybridMultilevel"/>
    <w:tmpl w:val="A21A6CBA"/>
    <w:lvl w:ilvl="0" w:tplc="AF200CE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6B6F68"/>
    <w:multiLevelType w:val="hybridMultilevel"/>
    <w:tmpl w:val="9EB290A8"/>
    <w:lvl w:ilvl="0" w:tplc="AF200C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1"/>
  </w:num>
  <w:num w:numId="5">
    <w:abstractNumId w:val="38"/>
  </w:num>
  <w:num w:numId="6">
    <w:abstractNumId w:val="40"/>
  </w:num>
  <w:num w:numId="7">
    <w:abstractNumId w:val="55"/>
  </w:num>
  <w:num w:numId="8">
    <w:abstractNumId w:val="31"/>
  </w:num>
  <w:num w:numId="9">
    <w:abstractNumId w:val="33"/>
  </w:num>
  <w:num w:numId="10">
    <w:abstractNumId w:val="20"/>
  </w:num>
  <w:num w:numId="11">
    <w:abstractNumId w:val="8"/>
  </w:num>
  <w:num w:numId="12">
    <w:abstractNumId w:val="25"/>
  </w:num>
  <w:num w:numId="13">
    <w:abstractNumId w:val="44"/>
  </w:num>
  <w:num w:numId="14">
    <w:abstractNumId w:val="52"/>
  </w:num>
  <w:num w:numId="15">
    <w:abstractNumId w:val="36"/>
  </w:num>
  <w:num w:numId="16">
    <w:abstractNumId w:val="27"/>
  </w:num>
  <w:num w:numId="17">
    <w:abstractNumId w:val="32"/>
  </w:num>
  <w:num w:numId="18">
    <w:abstractNumId w:val="51"/>
  </w:num>
  <w:num w:numId="19">
    <w:abstractNumId w:val="23"/>
  </w:num>
  <w:num w:numId="20">
    <w:abstractNumId w:val="54"/>
  </w:num>
  <w:num w:numId="21">
    <w:abstractNumId w:val="56"/>
  </w:num>
  <w:num w:numId="22">
    <w:abstractNumId w:val="57"/>
  </w:num>
  <w:num w:numId="23">
    <w:abstractNumId w:val="26"/>
  </w:num>
  <w:num w:numId="24">
    <w:abstractNumId w:val="49"/>
  </w:num>
  <w:num w:numId="25">
    <w:abstractNumId w:val="53"/>
  </w:num>
  <w:num w:numId="26">
    <w:abstractNumId w:val="47"/>
  </w:num>
  <w:num w:numId="27">
    <w:abstractNumId w:val="2"/>
  </w:num>
  <w:num w:numId="28">
    <w:abstractNumId w:val="17"/>
  </w:num>
  <w:num w:numId="29">
    <w:abstractNumId w:val="15"/>
  </w:num>
  <w:num w:numId="30">
    <w:abstractNumId w:val="29"/>
  </w:num>
  <w:num w:numId="31">
    <w:abstractNumId w:val="37"/>
  </w:num>
  <w:num w:numId="32">
    <w:abstractNumId w:val="18"/>
  </w:num>
  <w:num w:numId="33">
    <w:abstractNumId w:val="35"/>
  </w:num>
  <w:num w:numId="34">
    <w:abstractNumId w:val="13"/>
  </w:num>
  <w:num w:numId="35">
    <w:abstractNumId w:val="0"/>
  </w:num>
  <w:num w:numId="36">
    <w:abstractNumId w:val="28"/>
  </w:num>
  <w:num w:numId="37">
    <w:abstractNumId w:val="11"/>
  </w:num>
  <w:num w:numId="38">
    <w:abstractNumId w:val="22"/>
  </w:num>
  <w:num w:numId="39">
    <w:abstractNumId w:val="24"/>
  </w:num>
  <w:num w:numId="40">
    <w:abstractNumId w:val="14"/>
  </w:num>
  <w:num w:numId="41">
    <w:abstractNumId w:val="45"/>
  </w:num>
  <w:num w:numId="42">
    <w:abstractNumId w:val="9"/>
  </w:num>
  <w:num w:numId="43">
    <w:abstractNumId w:val="30"/>
  </w:num>
  <w:num w:numId="44">
    <w:abstractNumId w:val="50"/>
  </w:num>
  <w:num w:numId="45">
    <w:abstractNumId w:val="41"/>
  </w:num>
  <w:num w:numId="46">
    <w:abstractNumId w:val="19"/>
  </w:num>
  <w:num w:numId="47">
    <w:abstractNumId w:val="42"/>
  </w:num>
  <w:num w:numId="48">
    <w:abstractNumId w:val="48"/>
  </w:num>
  <w:num w:numId="49">
    <w:abstractNumId w:val="3"/>
  </w:num>
  <w:num w:numId="50">
    <w:abstractNumId w:val="10"/>
  </w:num>
  <w:num w:numId="51">
    <w:abstractNumId w:val="43"/>
  </w:num>
  <w:num w:numId="52">
    <w:abstractNumId w:val="12"/>
  </w:num>
  <w:num w:numId="53">
    <w:abstractNumId w:val="16"/>
  </w:num>
  <w:num w:numId="54">
    <w:abstractNumId w:val="46"/>
  </w:num>
  <w:num w:numId="55">
    <w:abstractNumId w:val="39"/>
  </w:num>
  <w:num w:numId="56">
    <w:abstractNumId w:val="5"/>
  </w:num>
  <w:num w:numId="57">
    <w:abstractNumId w:val="34"/>
  </w:num>
  <w:num w:numId="58">
    <w:abstractNumId w:val="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30050"/>
    <w:rsid w:val="0000066D"/>
    <w:rsid w:val="00000C91"/>
    <w:rsid w:val="00003FD2"/>
    <w:rsid w:val="000044E6"/>
    <w:rsid w:val="00004F1C"/>
    <w:rsid w:val="00005395"/>
    <w:rsid w:val="00005889"/>
    <w:rsid w:val="00005C90"/>
    <w:rsid w:val="00005D92"/>
    <w:rsid w:val="00006118"/>
    <w:rsid w:val="00006DAC"/>
    <w:rsid w:val="00006F2B"/>
    <w:rsid w:val="0001001F"/>
    <w:rsid w:val="000145D7"/>
    <w:rsid w:val="000171F5"/>
    <w:rsid w:val="000179B8"/>
    <w:rsid w:val="000201F9"/>
    <w:rsid w:val="000209D1"/>
    <w:rsid w:val="000209E0"/>
    <w:rsid w:val="00021BC0"/>
    <w:rsid w:val="000237B2"/>
    <w:rsid w:val="00023B14"/>
    <w:rsid w:val="00023C6A"/>
    <w:rsid w:val="00023D03"/>
    <w:rsid w:val="00024AB7"/>
    <w:rsid w:val="00024F3C"/>
    <w:rsid w:val="000253AE"/>
    <w:rsid w:val="00025555"/>
    <w:rsid w:val="00025D8F"/>
    <w:rsid w:val="00025F0C"/>
    <w:rsid w:val="00027EF7"/>
    <w:rsid w:val="000302F2"/>
    <w:rsid w:val="00030960"/>
    <w:rsid w:val="00031297"/>
    <w:rsid w:val="00032327"/>
    <w:rsid w:val="0003298B"/>
    <w:rsid w:val="00033DB5"/>
    <w:rsid w:val="00034FCE"/>
    <w:rsid w:val="000359E6"/>
    <w:rsid w:val="00036723"/>
    <w:rsid w:val="0003676F"/>
    <w:rsid w:val="00037EC2"/>
    <w:rsid w:val="00041744"/>
    <w:rsid w:val="00041C1B"/>
    <w:rsid w:val="00042035"/>
    <w:rsid w:val="00042904"/>
    <w:rsid w:val="0004338C"/>
    <w:rsid w:val="00043494"/>
    <w:rsid w:val="000437E2"/>
    <w:rsid w:val="00044AC3"/>
    <w:rsid w:val="000455B5"/>
    <w:rsid w:val="00045DE9"/>
    <w:rsid w:val="00046D22"/>
    <w:rsid w:val="000473D5"/>
    <w:rsid w:val="00047578"/>
    <w:rsid w:val="000507BB"/>
    <w:rsid w:val="00051E27"/>
    <w:rsid w:val="00052A62"/>
    <w:rsid w:val="00053B51"/>
    <w:rsid w:val="000546B5"/>
    <w:rsid w:val="000549FE"/>
    <w:rsid w:val="00054CEC"/>
    <w:rsid w:val="00054FD2"/>
    <w:rsid w:val="00055770"/>
    <w:rsid w:val="00056803"/>
    <w:rsid w:val="000569F7"/>
    <w:rsid w:val="0005701D"/>
    <w:rsid w:val="000577D2"/>
    <w:rsid w:val="000600D0"/>
    <w:rsid w:val="00060893"/>
    <w:rsid w:val="0006299C"/>
    <w:rsid w:val="000630D0"/>
    <w:rsid w:val="000638AF"/>
    <w:rsid w:val="000655AD"/>
    <w:rsid w:val="000656CC"/>
    <w:rsid w:val="000657A0"/>
    <w:rsid w:val="0006615C"/>
    <w:rsid w:val="000713D6"/>
    <w:rsid w:val="000715B2"/>
    <w:rsid w:val="0007381C"/>
    <w:rsid w:val="0007440F"/>
    <w:rsid w:val="00075AB7"/>
    <w:rsid w:val="00075AEB"/>
    <w:rsid w:val="00076423"/>
    <w:rsid w:val="00080DB9"/>
    <w:rsid w:val="00082CDC"/>
    <w:rsid w:val="00083A17"/>
    <w:rsid w:val="00083E55"/>
    <w:rsid w:val="0008526E"/>
    <w:rsid w:val="00086A00"/>
    <w:rsid w:val="000874DC"/>
    <w:rsid w:val="00087807"/>
    <w:rsid w:val="00087875"/>
    <w:rsid w:val="00090023"/>
    <w:rsid w:val="000902A8"/>
    <w:rsid w:val="00091A59"/>
    <w:rsid w:val="0009203F"/>
    <w:rsid w:val="000924C8"/>
    <w:rsid w:val="00092B3B"/>
    <w:rsid w:val="000935DC"/>
    <w:rsid w:val="0009469F"/>
    <w:rsid w:val="00095EA9"/>
    <w:rsid w:val="0009635C"/>
    <w:rsid w:val="00096459"/>
    <w:rsid w:val="0009660B"/>
    <w:rsid w:val="00096651"/>
    <w:rsid w:val="00096888"/>
    <w:rsid w:val="00096974"/>
    <w:rsid w:val="000A0032"/>
    <w:rsid w:val="000A02D2"/>
    <w:rsid w:val="000A0913"/>
    <w:rsid w:val="000A14DD"/>
    <w:rsid w:val="000A1754"/>
    <w:rsid w:val="000A220E"/>
    <w:rsid w:val="000A22C2"/>
    <w:rsid w:val="000A2326"/>
    <w:rsid w:val="000A2AA5"/>
    <w:rsid w:val="000A3254"/>
    <w:rsid w:val="000A3BE2"/>
    <w:rsid w:val="000A5AC8"/>
    <w:rsid w:val="000A6062"/>
    <w:rsid w:val="000A72E5"/>
    <w:rsid w:val="000A72FE"/>
    <w:rsid w:val="000B1495"/>
    <w:rsid w:val="000B1735"/>
    <w:rsid w:val="000B1C1B"/>
    <w:rsid w:val="000B37A7"/>
    <w:rsid w:val="000B389A"/>
    <w:rsid w:val="000B552D"/>
    <w:rsid w:val="000B721A"/>
    <w:rsid w:val="000C0867"/>
    <w:rsid w:val="000C0A3D"/>
    <w:rsid w:val="000C0D63"/>
    <w:rsid w:val="000C0FDC"/>
    <w:rsid w:val="000C1594"/>
    <w:rsid w:val="000C19D1"/>
    <w:rsid w:val="000C2003"/>
    <w:rsid w:val="000C3054"/>
    <w:rsid w:val="000C34BC"/>
    <w:rsid w:val="000C4D20"/>
    <w:rsid w:val="000C4FED"/>
    <w:rsid w:val="000C539F"/>
    <w:rsid w:val="000C7789"/>
    <w:rsid w:val="000D252C"/>
    <w:rsid w:val="000D25D6"/>
    <w:rsid w:val="000D30D9"/>
    <w:rsid w:val="000D354C"/>
    <w:rsid w:val="000D44F3"/>
    <w:rsid w:val="000D564D"/>
    <w:rsid w:val="000D5782"/>
    <w:rsid w:val="000D57C6"/>
    <w:rsid w:val="000D59D2"/>
    <w:rsid w:val="000D62F5"/>
    <w:rsid w:val="000D6FA3"/>
    <w:rsid w:val="000D764E"/>
    <w:rsid w:val="000E1229"/>
    <w:rsid w:val="000E140D"/>
    <w:rsid w:val="000E161C"/>
    <w:rsid w:val="000E1DC5"/>
    <w:rsid w:val="000E26DD"/>
    <w:rsid w:val="000E2BA2"/>
    <w:rsid w:val="000E3FE0"/>
    <w:rsid w:val="000E5428"/>
    <w:rsid w:val="000E5684"/>
    <w:rsid w:val="000E6545"/>
    <w:rsid w:val="000E68DA"/>
    <w:rsid w:val="000E6FAA"/>
    <w:rsid w:val="000F00D6"/>
    <w:rsid w:val="000F0CA5"/>
    <w:rsid w:val="000F0D47"/>
    <w:rsid w:val="000F1883"/>
    <w:rsid w:val="000F2D57"/>
    <w:rsid w:val="000F3012"/>
    <w:rsid w:val="000F38D0"/>
    <w:rsid w:val="000F44A8"/>
    <w:rsid w:val="000F4E5D"/>
    <w:rsid w:val="000F6A9D"/>
    <w:rsid w:val="000F7752"/>
    <w:rsid w:val="000F77A9"/>
    <w:rsid w:val="001024B0"/>
    <w:rsid w:val="00103470"/>
    <w:rsid w:val="0010433A"/>
    <w:rsid w:val="0010564F"/>
    <w:rsid w:val="0010605B"/>
    <w:rsid w:val="00106EE8"/>
    <w:rsid w:val="0010761D"/>
    <w:rsid w:val="00111FA4"/>
    <w:rsid w:val="00112AA9"/>
    <w:rsid w:val="0011344C"/>
    <w:rsid w:val="001136A0"/>
    <w:rsid w:val="001136F8"/>
    <w:rsid w:val="00114B4A"/>
    <w:rsid w:val="001154FD"/>
    <w:rsid w:val="00116786"/>
    <w:rsid w:val="001179D9"/>
    <w:rsid w:val="00120293"/>
    <w:rsid w:val="001220A1"/>
    <w:rsid w:val="00122F02"/>
    <w:rsid w:val="00123747"/>
    <w:rsid w:val="001237A5"/>
    <w:rsid w:val="00123B00"/>
    <w:rsid w:val="00123FE0"/>
    <w:rsid w:val="001241CE"/>
    <w:rsid w:val="00125E29"/>
    <w:rsid w:val="001266AB"/>
    <w:rsid w:val="001267D8"/>
    <w:rsid w:val="0012768D"/>
    <w:rsid w:val="00130050"/>
    <w:rsid w:val="00130522"/>
    <w:rsid w:val="00130D24"/>
    <w:rsid w:val="00131628"/>
    <w:rsid w:val="00132F37"/>
    <w:rsid w:val="00133278"/>
    <w:rsid w:val="001337F9"/>
    <w:rsid w:val="00134E22"/>
    <w:rsid w:val="0013527A"/>
    <w:rsid w:val="00135761"/>
    <w:rsid w:val="00135AB9"/>
    <w:rsid w:val="00135EC4"/>
    <w:rsid w:val="00136184"/>
    <w:rsid w:val="001372AE"/>
    <w:rsid w:val="001372F1"/>
    <w:rsid w:val="001373A1"/>
    <w:rsid w:val="001379B4"/>
    <w:rsid w:val="00137B74"/>
    <w:rsid w:val="00141CCC"/>
    <w:rsid w:val="00142226"/>
    <w:rsid w:val="00143454"/>
    <w:rsid w:val="00143D02"/>
    <w:rsid w:val="00144161"/>
    <w:rsid w:val="00144C57"/>
    <w:rsid w:val="00145300"/>
    <w:rsid w:val="0014561F"/>
    <w:rsid w:val="001460CC"/>
    <w:rsid w:val="001465E2"/>
    <w:rsid w:val="0014720D"/>
    <w:rsid w:val="00151301"/>
    <w:rsid w:val="00151B75"/>
    <w:rsid w:val="00151D0C"/>
    <w:rsid w:val="0015232B"/>
    <w:rsid w:val="00152A68"/>
    <w:rsid w:val="0015405C"/>
    <w:rsid w:val="00155F2B"/>
    <w:rsid w:val="00156CB6"/>
    <w:rsid w:val="0015726B"/>
    <w:rsid w:val="00157E1D"/>
    <w:rsid w:val="0016072C"/>
    <w:rsid w:val="00160ABB"/>
    <w:rsid w:val="00160D7B"/>
    <w:rsid w:val="00161F3A"/>
    <w:rsid w:val="0016208C"/>
    <w:rsid w:val="001627FC"/>
    <w:rsid w:val="00163CAB"/>
    <w:rsid w:val="00163FD3"/>
    <w:rsid w:val="00165CFE"/>
    <w:rsid w:val="00166B50"/>
    <w:rsid w:val="00167995"/>
    <w:rsid w:val="00167C96"/>
    <w:rsid w:val="001701AC"/>
    <w:rsid w:val="0017056B"/>
    <w:rsid w:val="00172566"/>
    <w:rsid w:val="00172F8C"/>
    <w:rsid w:val="00173779"/>
    <w:rsid w:val="0017420B"/>
    <w:rsid w:val="00174236"/>
    <w:rsid w:val="00175F9D"/>
    <w:rsid w:val="00176069"/>
    <w:rsid w:val="001760BE"/>
    <w:rsid w:val="0017726C"/>
    <w:rsid w:val="0017739E"/>
    <w:rsid w:val="00177EFB"/>
    <w:rsid w:val="00180B06"/>
    <w:rsid w:val="001815F3"/>
    <w:rsid w:val="0018186F"/>
    <w:rsid w:val="00183731"/>
    <w:rsid w:val="00184081"/>
    <w:rsid w:val="001855E4"/>
    <w:rsid w:val="001875B4"/>
    <w:rsid w:val="001903EF"/>
    <w:rsid w:val="0019084C"/>
    <w:rsid w:val="0019116D"/>
    <w:rsid w:val="001925ED"/>
    <w:rsid w:val="00192718"/>
    <w:rsid w:val="00193069"/>
    <w:rsid w:val="0019479F"/>
    <w:rsid w:val="00195C76"/>
    <w:rsid w:val="00197AEE"/>
    <w:rsid w:val="00197CF1"/>
    <w:rsid w:val="001A0B86"/>
    <w:rsid w:val="001A0CBE"/>
    <w:rsid w:val="001A1F41"/>
    <w:rsid w:val="001A282C"/>
    <w:rsid w:val="001A2DD6"/>
    <w:rsid w:val="001A2E09"/>
    <w:rsid w:val="001A4549"/>
    <w:rsid w:val="001A4AB4"/>
    <w:rsid w:val="001A53F6"/>
    <w:rsid w:val="001A5F43"/>
    <w:rsid w:val="001A79E3"/>
    <w:rsid w:val="001A7BE1"/>
    <w:rsid w:val="001B051B"/>
    <w:rsid w:val="001B1D14"/>
    <w:rsid w:val="001B2B75"/>
    <w:rsid w:val="001B2E31"/>
    <w:rsid w:val="001B307A"/>
    <w:rsid w:val="001B4089"/>
    <w:rsid w:val="001B4206"/>
    <w:rsid w:val="001B445F"/>
    <w:rsid w:val="001B4D1C"/>
    <w:rsid w:val="001B4E56"/>
    <w:rsid w:val="001B6133"/>
    <w:rsid w:val="001B66E3"/>
    <w:rsid w:val="001B70C5"/>
    <w:rsid w:val="001B7176"/>
    <w:rsid w:val="001C1338"/>
    <w:rsid w:val="001C21C8"/>
    <w:rsid w:val="001C45B4"/>
    <w:rsid w:val="001C48A0"/>
    <w:rsid w:val="001C48ED"/>
    <w:rsid w:val="001C5001"/>
    <w:rsid w:val="001C5E03"/>
    <w:rsid w:val="001C6006"/>
    <w:rsid w:val="001C6765"/>
    <w:rsid w:val="001C685C"/>
    <w:rsid w:val="001C6913"/>
    <w:rsid w:val="001D0A75"/>
    <w:rsid w:val="001D2ECC"/>
    <w:rsid w:val="001D3BF6"/>
    <w:rsid w:val="001D462C"/>
    <w:rsid w:val="001D4C2E"/>
    <w:rsid w:val="001D5288"/>
    <w:rsid w:val="001D6818"/>
    <w:rsid w:val="001E092C"/>
    <w:rsid w:val="001E1627"/>
    <w:rsid w:val="001E18AA"/>
    <w:rsid w:val="001E257F"/>
    <w:rsid w:val="001E2B3A"/>
    <w:rsid w:val="001E46A1"/>
    <w:rsid w:val="001E4BED"/>
    <w:rsid w:val="001E5AE9"/>
    <w:rsid w:val="001E5F49"/>
    <w:rsid w:val="001E68F5"/>
    <w:rsid w:val="001E750B"/>
    <w:rsid w:val="001F00A5"/>
    <w:rsid w:val="001F0C44"/>
    <w:rsid w:val="001F13CC"/>
    <w:rsid w:val="001F14C6"/>
    <w:rsid w:val="001F1AAB"/>
    <w:rsid w:val="001F2182"/>
    <w:rsid w:val="001F2DFB"/>
    <w:rsid w:val="001F3000"/>
    <w:rsid w:val="001F3CB2"/>
    <w:rsid w:val="001F4379"/>
    <w:rsid w:val="001F4744"/>
    <w:rsid w:val="001F4A7D"/>
    <w:rsid w:val="001F4E25"/>
    <w:rsid w:val="001F4FC8"/>
    <w:rsid w:val="001F535F"/>
    <w:rsid w:val="001F5C58"/>
    <w:rsid w:val="001F642E"/>
    <w:rsid w:val="001F65B7"/>
    <w:rsid w:val="001F70F0"/>
    <w:rsid w:val="001F73BD"/>
    <w:rsid w:val="001F74B2"/>
    <w:rsid w:val="00200EE9"/>
    <w:rsid w:val="002028BB"/>
    <w:rsid w:val="00203DFE"/>
    <w:rsid w:val="00204177"/>
    <w:rsid w:val="002051B9"/>
    <w:rsid w:val="00206C67"/>
    <w:rsid w:val="0021077F"/>
    <w:rsid w:val="00210A0E"/>
    <w:rsid w:val="002111FB"/>
    <w:rsid w:val="00211336"/>
    <w:rsid w:val="00211E05"/>
    <w:rsid w:val="002121E5"/>
    <w:rsid w:val="0021306B"/>
    <w:rsid w:val="002139FB"/>
    <w:rsid w:val="00215213"/>
    <w:rsid w:val="00215B9F"/>
    <w:rsid w:val="00216085"/>
    <w:rsid w:val="0021687F"/>
    <w:rsid w:val="00216A8C"/>
    <w:rsid w:val="00216AF1"/>
    <w:rsid w:val="00217595"/>
    <w:rsid w:val="002178E0"/>
    <w:rsid w:val="0022084D"/>
    <w:rsid w:val="002208C5"/>
    <w:rsid w:val="00220A07"/>
    <w:rsid w:val="0022154F"/>
    <w:rsid w:val="00221AC3"/>
    <w:rsid w:val="00222279"/>
    <w:rsid w:val="00223176"/>
    <w:rsid w:val="0022457B"/>
    <w:rsid w:val="0022472A"/>
    <w:rsid w:val="00224C38"/>
    <w:rsid w:val="00225198"/>
    <w:rsid w:val="002259C2"/>
    <w:rsid w:val="002265E9"/>
    <w:rsid w:val="00226800"/>
    <w:rsid w:val="00227830"/>
    <w:rsid w:val="002279DD"/>
    <w:rsid w:val="002309DC"/>
    <w:rsid w:val="00230F5A"/>
    <w:rsid w:val="002324C1"/>
    <w:rsid w:val="00234374"/>
    <w:rsid w:val="00234E28"/>
    <w:rsid w:val="00235FE3"/>
    <w:rsid w:val="0023675C"/>
    <w:rsid w:val="002369D1"/>
    <w:rsid w:val="00236DF1"/>
    <w:rsid w:val="002378F5"/>
    <w:rsid w:val="00237C49"/>
    <w:rsid w:val="00237EA9"/>
    <w:rsid w:val="002408D4"/>
    <w:rsid w:val="00241740"/>
    <w:rsid w:val="00241B57"/>
    <w:rsid w:val="0024333A"/>
    <w:rsid w:val="002450F7"/>
    <w:rsid w:val="002453C4"/>
    <w:rsid w:val="002455E8"/>
    <w:rsid w:val="00245803"/>
    <w:rsid w:val="00250434"/>
    <w:rsid w:val="002522E4"/>
    <w:rsid w:val="002530EA"/>
    <w:rsid w:val="002532B6"/>
    <w:rsid w:val="00253C17"/>
    <w:rsid w:val="002546F0"/>
    <w:rsid w:val="00254A4A"/>
    <w:rsid w:val="002559C1"/>
    <w:rsid w:val="00256BB4"/>
    <w:rsid w:val="00260078"/>
    <w:rsid w:val="002602E3"/>
    <w:rsid w:val="00260B78"/>
    <w:rsid w:val="00260BFB"/>
    <w:rsid w:val="00261AA8"/>
    <w:rsid w:val="002623D6"/>
    <w:rsid w:val="00262488"/>
    <w:rsid w:val="00263435"/>
    <w:rsid w:val="0026363B"/>
    <w:rsid w:val="00264728"/>
    <w:rsid w:val="002647E0"/>
    <w:rsid w:val="00264C81"/>
    <w:rsid w:val="00264E64"/>
    <w:rsid w:val="0026538F"/>
    <w:rsid w:val="002655D2"/>
    <w:rsid w:val="00265721"/>
    <w:rsid w:val="00265B92"/>
    <w:rsid w:val="00265C4F"/>
    <w:rsid w:val="00265F29"/>
    <w:rsid w:val="002663BD"/>
    <w:rsid w:val="002668C2"/>
    <w:rsid w:val="002717C8"/>
    <w:rsid w:val="00271AE1"/>
    <w:rsid w:val="00271E79"/>
    <w:rsid w:val="00272E2A"/>
    <w:rsid w:val="002730E5"/>
    <w:rsid w:val="002750DD"/>
    <w:rsid w:val="00275386"/>
    <w:rsid w:val="0027577E"/>
    <w:rsid w:val="0027627A"/>
    <w:rsid w:val="00276307"/>
    <w:rsid w:val="0027682C"/>
    <w:rsid w:val="00276D9F"/>
    <w:rsid w:val="0027711B"/>
    <w:rsid w:val="002772B8"/>
    <w:rsid w:val="00277FA4"/>
    <w:rsid w:val="00280058"/>
    <w:rsid w:val="002804FF"/>
    <w:rsid w:val="002839F1"/>
    <w:rsid w:val="00285916"/>
    <w:rsid w:val="0028595F"/>
    <w:rsid w:val="00285E9A"/>
    <w:rsid w:val="00285F2F"/>
    <w:rsid w:val="00286992"/>
    <w:rsid w:val="00287705"/>
    <w:rsid w:val="002905C3"/>
    <w:rsid w:val="002922AC"/>
    <w:rsid w:val="002936D2"/>
    <w:rsid w:val="002939C5"/>
    <w:rsid w:val="00293B5A"/>
    <w:rsid w:val="00293E3E"/>
    <w:rsid w:val="002945BB"/>
    <w:rsid w:val="0029484A"/>
    <w:rsid w:val="0029487E"/>
    <w:rsid w:val="00295052"/>
    <w:rsid w:val="002954E0"/>
    <w:rsid w:val="00295758"/>
    <w:rsid w:val="00295900"/>
    <w:rsid w:val="00296849"/>
    <w:rsid w:val="00296C4D"/>
    <w:rsid w:val="002A0589"/>
    <w:rsid w:val="002A1857"/>
    <w:rsid w:val="002A199B"/>
    <w:rsid w:val="002A1CE7"/>
    <w:rsid w:val="002A3D11"/>
    <w:rsid w:val="002A4997"/>
    <w:rsid w:val="002A59F4"/>
    <w:rsid w:val="002A5AA4"/>
    <w:rsid w:val="002A5D46"/>
    <w:rsid w:val="002A5E7E"/>
    <w:rsid w:val="002A6CB1"/>
    <w:rsid w:val="002A6EF3"/>
    <w:rsid w:val="002A6F19"/>
    <w:rsid w:val="002A7D69"/>
    <w:rsid w:val="002B032B"/>
    <w:rsid w:val="002B059C"/>
    <w:rsid w:val="002B0D3F"/>
    <w:rsid w:val="002B223D"/>
    <w:rsid w:val="002B2A57"/>
    <w:rsid w:val="002B395C"/>
    <w:rsid w:val="002B3E0C"/>
    <w:rsid w:val="002B5E28"/>
    <w:rsid w:val="002B6FD4"/>
    <w:rsid w:val="002B77F2"/>
    <w:rsid w:val="002B7AB8"/>
    <w:rsid w:val="002B7B17"/>
    <w:rsid w:val="002C0244"/>
    <w:rsid w:val="002C0506"/>
    <w:rsid w:val="002C25F7"/>
    <w:rsid w:val="002C297D"/>
    <w:rsid w:val="002C3DD9"/>
    <w:rsid w:val="002C4858"/>
    <w:rsid w:val="002C4F00"/>
    <w:rsid w:val="002D1D67"/>
    <w:rsid w:val="002D29A8"/>
    <w:rsid w:val="002D6137"/>
    <w:rsid w:val="002D7BDB"/>
    <w:rsid w:val="002E28A6"/>
    <w:rsid w:val="002E37E3"/>
    <w:rsid w:val="002E39ED"/>
    <w:rsid w:val="002E45B7"/>
    <w:rsid w:val="002E4996"/>
    <w:rsid w:val="002E560F"/>
    <w:rsid w:val="002E5984"/>
    <w:rsid w:val="002E5B98"/>
    <w:rsid w:val="002E7899"/>
    <w:rsid w:val="002F09F2"/>
    <w:rsid w:val="002F0BA5"/>
    <w:rsid w:val="002F0C7C"/>
    <w:rsid w:val="002F0E24"/>
    <w:rsid w:val="002F1138"/>
    <w:rsid w:val="002F13BC"/>
    <w:rsid w:val="002F1B97"/>
    <w:rsid w:val="002F1D9A"/>
    <w:rsid w:val="002F3BD1"/>
    <w:rsid w:val="002F3CB8"/>
    <w:rsid w:val="002F4245"/>
    <w:rsid w:val="002F4C46"/>
    <w:rsid w:val="002F5319"/>
    <w:rsid w:val="002F6278"/>
    <w:rsid w:val="002F710F"/>
    <w:rsid w:val="003008E1"/>
    <w:rsid w:val="00303B2B"/>
    <w:rsid w:val="00304835"/>
    <w:rsid w:val="003054B8"/>
    <w:rsid w:val="00305D21"/>
    <w:rsid w:val="00306434"/>
    <w:rsid w:val="00307CE1"/>
    <w:rsid w:val="00307DEB"/>
    <w:rsid w:val="00311857"/>
    <w:rsid w:val="00311FD9"/>
    <w:rsid w:val="00312AB3"/>
    <w:rsid w:val="0031403B"/>
    <w:rsid w:val="003140E8"/>
    <w:rsid w:val="00314456"/>
    <w:rsid w:val="00314849"/>
    <w:rsid w:val="003154E1"/>
    <w:rsid w:val="003156AA"/>
    <w:rsid w:val="00316A2E"/>
    <w:rsid w:val="00317565"/>
    <w:rsid w:val="00317F8F"/>
    <w:rsid w:val="003203DD"/>
    <w:rsid w:val="003204E6"/>
    <w:rsid w:val="00321670"/>
    <w:rsid w:val="00322169"/>
    <w:rsid w:val="003226A0"/>
    <w:rsid w:val="00324374"/>
    <w:rsid w:val="00325C48"/>
    <w:rsid w:val="00325D0F"/>
    <w:rsid w:val="003269C4"/>
    <w:rsid w:val="003276B2"/>
    <w:rsid w:val="00327918"/>
    <w:rsid w:val="00330E47"/>
    <w:rsid w:val="00331EE1"/>
    <w:rsid w:val="0033231E"/>
    <w:rsid w:val="00332A15"/>
    <w:rsid w:val="00333B9B"/>
    <w:rsid w:val="00334685"/>
    <w:rsid w:val="00334DFC"/>
    <w:rsid w:val="0033644B"/>
    <w:rsid w:val="00336661"/>
    <w:rsid w:val="003373CA"/>
    <w:rsid w:val="00337450"/>
    <w:rsid w:val="0033749C"/>
    <w:rsid w:val="003378E9"/>
    <w:rsid w:val="00337E19"/>
    <w:rsid w:val="00337E5E"/>
    <w:rsid w:val="00340035"/>
    <w:rsid w:val="00340DBA"/>
    <w:rsid w:val="003414CA"/>
    <w:rsid w:val="00341681"/>
    <w:rsid w:val="003421E2"/>
    <w:rsid w:val="00343582"/>
    <w:rsid w:val="003465B9"/>
    <w:rsid w:val="003468A7"/>
    <w:rsid w:val="00347B50"/>
    <w:rsid w:val="0035097B"/>
    <w:rsid w:val="00350A0C"/>
    <w:rsid w:val="003511CC"/>
    <w:rsid w:val="00351750"/>
    <w:rsid w:val="0035308A"/>
    <w:rsid w:val="00353397"/>
    <w:rsid w:val="00353A1A"/>
    <w:rsid w:val="0035460F"/>
    <w:rsid w:val="0035629C"/>
    <w:rsid w:val="0035679E"/>
    <w:rsid w:val="00356D71"/>
    <w:rsid w:val="00360FB6"/>
    <w:rsid w:val="003619CF"/>
    <w:rsid w:val="00362E9C"/>
    <w:rsid w:val="00363B28"/>
    <w:rsid w:val="00363C13"/>
    <w:rsid w:val="00363CC7"/>
    <w:rsid w:val="00364280"/>
    <w:rsid w:val="003645AC"/>
    <w:rsid w:val="00366ED0"/>
    <w:rsid w:val="00367428"/>
    <w:rsid w:val="00367BA6"/>
    <w:rsid w:val="00370808"/>
    <w:rsid w:val="00371EF9"/>
    <w:rsid w:val="00372986"/>
    <w:rsid w:val="0037343A"/>
    <w:rsid w:val="003734A3"/>
    <w:rsid w:val="00373DD2"/>
    <w:rsid w:val="003741E5"/>
    <w:rsid w:val="003747FE"/>
    <w:rsid w:val="00375286"/>
    <w:rsid w:val="003752DE"/>
    <w:rsid w:val="00375AF7"/>
    <w:rsid w:val="003761F8"/>
    <w:rsid w:val="00380C82"/>
    <w:rsid w:val="00381ABB"/>
    <w:rsid w:val="00382AE4"/>
    <w:rsid w:val="00382B47"/>
    <w:rsid w:val="00382CAA"/>
    <w:rsid w:val="00384FA5"/>
    <w:rsid w:val="00386082"/>
    <w:rsid w:val="00386C3B"/>
    <w:rsid w:val="003871C1"/>
    <w:rsid w:val="00390B2A"/>
    <w:rsid w:val="00391D35"/>
    <w:rsid w:val="003925BA"/>
    <w:rsid w:val="0039342A"/>
    <w:rsid w:val="0039383C"/>
    <w:rsid w:val="00393B8D"/>
    <w:rsid w:val="00394B7A"/>
    <w:rsid w:val="00394C58"/>
    <w:rsid w:val="0039733F"/>
    <w:rsid w:val="00397C56"/>
    <w:rsid w:val="003A0286"/>
    <w:rsid w:val="003A0475"/>
    <w:rsid w:val="003A10D1"/>
    <w:rsid w:val="003A10D5"/>
    <w:rsid w:val="003A14DC"/>
    <w:rsid w:val="003A419D"/>
    <w:rsid w:val="003A5BE7"/>
    <w:rsid w:val="003A6BD5"/>
    <w:rsid w:val="003A6BEB"/>
    <w:rsid w:val="003A718E"/>
    <w:rsid w:val="003B16E9"/>
    <w:rsid w:val="003B2847"/>
    <w:rsid w:val="003B317C"/>
    <w:rsid w:val="003B4DF7"/>
    <w:rsid w:val="003B5392"/>
    <w:rsid w:val="003B5E13"/>
    <w:rsid w:val="003B640F"/>
    <w:rsid w:val="003B7975"/>
    <w:rsid w:val="003C032C"/>
    <w:rsid w:val="003C073B"/>
    <w:rsid w:val="003C2E64"/>
    <w:rsid w:val="003C3840"/>
    <w:rsid w:val="003C49DF"/>
    <w:rsid w:val="003C4AFD"/>
    <w:rsid w:val="003C6E1A"/>
    <w:rsid w:val="003C73A0"/>
    <w:rsid w:val="003C7CF7"/>
    <w:rsid w:val="003D08E7"/>
    <w:rsid w:val="003D0B39"/>
    <w:rsid w:val="003D1BE6"/>
    <w:rsid w:val="003D1EA7"/>
    <w:rsid w:val="003D236F"/>
    <w:rsid w:val="003D237D"/>
    <w:rsid w:val="003D368E"/>
    <w:rsid w:val="003D466D"/>
    <w:rsid w:val="003D4BCE"/>
    <w:rsid w:val="003D4DA5"/>
    <w:rsid w:val="003D6B8D"/>
    <w:rsid w:val="003E01AD"/>
    <w:rsid w:val="003E02A6"/>
    <w:rsid w:val="003E0752"/>
    <w:rsid w:val="003E191D"/>
    <w:rsid w:val="003E3ABA"/>
    <w:rsid w:val="003E4DF6"/>
    <w:rsid w:val="003E56C1"/>
    <w:rsid w:val="003E5985"/>
    <w:rsid w:val="003E639F"/>
    <w:rsid w:val="003E6A9A"/>
    <w:rsid w:val="003E6E97"/>
    <w:rsid w:val="003E746C"/>
    <w:rsid w:val="003E7A44"/>
    <w:rsid w:val="003E7BCB"/>
    <w:rsid w:val="003E7C38"/>
    <w:rsid w:val="003F1696"/>
    <w:rsid w:val="003F1B1D"/>
    <w:rsid w:val="003F1BEB"/>
    <w:rsid w:val="003F1EFF"/>
    <w:rsid w:val="003F49A5"/>
    <w:rsid w:val="003F6241"/>
    <w:rsid w:val="003F786A"/>
    <w:rsid w:val="003F7DD0"/>
    <w:rsid w:val="00400053"/>
    <w:rsid w:val="00401AE7"/>
    <w:rsid w:val="00403372"/>
    <w:rsid w:val="004039A4"/>
    <w:rsid w:val="00405DE0"/>
    <w:rsid w:val="004066FC"/>
    <w:rsid w:val="00406B66"/>
    <w:rsid w:val="00406DCA"/>
    <w:rsid w:val="00407602"/>
    <w:rsid w:val="00407B8F"/>
    <w:rsid w:val="00407F34"/>
    <w:rsid w:val="004119DB"/>
    <w:rsid w:val="00413918"/>
    <w:rsid w:val="00414E40"/>
    <w:rsid w:val="00416968"/>
    <w:rsid w:val="00416B1F"/>
    <w:rsid w:val="0041770D"/>
    <w:rsid w:val="0042059F"/>
    <w:rsid w:val="00422421"/>
    <w:rsid w:val="00426E0C"/>
    <w:rsid w:val="004308E5"/>
    <w:rsid w:val="00430F18"/>
    <w:rsid w:val="004324FB"/>
    <w:rsid w:val="00432BC5"/>
    <w:rsid w:val="00433484"/>
    <w:rsid w:val="00433A8C"/>
    <w:rsid w:val="004342E9"/>
    <w:rsid w:val="00435D83"/>
    <w:rsid w:val="004360E5"/>
    <w:rsid w:val="00436A38"/>
    <w:rsid w:val="004372A8"/>
    <w:rsid w:val="004374F5"/>
    <w:rsid w:val="004408C5"/>
    <w:rsid w:val="00441D44"/>
    <w:rsid w:val="004420E5"/>
    <w:rsid w:val="00442AFE"/>
    <w:rsid w:val="00444020"/>
    <w:rsid w:val="004451B1"/>
    <w:rsid w:val="00446D0C"/>
    <w:rsid w:val="00450594"/>
    <w:rsid w:val="004507EC"/>
    <w:rsid w:val="00451F0E"/>
    <w:rsid w:val="0045320E"/>
    <w:rsid w:val="004532E5"/>
    <w:rsid w:val="0045364A"/>
    <w:rsid w:val="00456568"/>
    <w:rsid w:val="00457467"/>
    <w:rsid w:val="00457BCD"/>
    <w:rsid w:val="004604EF"/>
    <w:rsid w:val="0046155F"/>
    <w:rsid w:val="0046228A"/>
    <w:rsid w:val="0046305A"/>
    <w:rsid w:val="00463326"/>
    <w:rsid w:val="0046523C"/>
    <w:rsid w:val="00466064"/>
    <w:rsid w:val="00466C00"/>
    <w:rsid w:val="004707C0"/>
    <w:rsid w:val="00470A57"/>
    <w:rsid w:val="00471325"/>
    <w:rsid w:val="00473B17"/>
    <w:rsid w:val="00473CCE"/>
    <w:rsid w:val="00473FD0"/>
    <w:rsid w:val="00474D68"/>
    <w:rsid w:val="004753BA"/>
    <w:rsid w:val="00475C31"/>
    <w:rsid w:val="00476F73"/>
    <w:rsid w:val="00476FB0"/>
    <w:rsid w:val="00477115"/>
    <w:rsid w:val="00480A19"/>
    <w:rsid w:val="00481242"/>
    <w:rsid w:val="004815BF"/>
    <w:rsid w:val="00485023"/>
    <w:rsid w:val="004855E9"/>
    <w:rsid w:val="0048651A"/>
    <w:rsid w:val="0048670B"/>
    <w:rsid w:val="004905E6"/>
    <w:rsid w:val="004923F6"/>
    <w:rsid w:val="004933BF"/>
    <w:rsid w:val="00493DDC"/>
    <w:rsid w:val="004940D7"/>
    <w:rsid w:val="00496B6C"/>
    <w:rsid w:val="00496E41"/>
    <w:rsid w:val="004A095F"/>
    <w:rsid w:val="004A13A5"/>
    <w:rsid w:val="004A19BA"/>
    <w:rsid w:val="004A287B"/>
    <w:rsid w:val="004A2C73"/>
    <w:rsid w:val="004A72D3"/>
    <w:rsid w:val="004B1204"/>
    <w:rsid w:val="004B187C"/>
    <w:rsid w:val="004B18C1"/>
    <w:rsid w:val="004B20D3"/>
    <w:rsid w:val="004B22EA"/>
    <w:rsid w:val="004B3767"/>
    <w:rsid w:val="004B3AD0"/>
    <w:rsid w:val="004B5C65"/>
    <w:rsid w:val="004B72AD"/>
    <w:rsid w:val="004B7A6F"/>
    <w:rsid w:val="004B7C68"/>
    <w:rsid w:val="004C06B6"/>
    <w:rsid w:val="004C1277"/>
    <w:rsid w:val="004C1B15"/>
    <w:rsid w:val="004C32C0"/>
    <w:rsid w:val="004C3523"/>
    <w:rsid w:val="004C3DF6"/>
    <w:rsid w:val="004C4847"/>
    <w:rsid w:val="004C49AE"/>
    <w:rsid w:val="004C5EB4"/>
    <w:rsid w:val="004C6982"/>
    <w:rsid w:val="004C6B93"/>
    <w:rsid w:val="004C739F"/>
    <w:rsid w:val="004C7561"/>
    <w:rsid w:val="004D0E30"/>
    <w:rsid w:val="004D10FB"/>
    <w:rsid w:val="004D169F"/>
    <w:rsid w:val="004D261F"/>
    <w:rsid w:val="004D265B"/>
    <w:rsid w:val="004D38DC"/>
    <w:rsid w:val="004D5B83"/>
    <w:rsid w:val="004D5CDD"/>
    <w:rsid w:val="004D5F0D"/>
    <w:rsid w:val="004D7582"/>
    <w:rsid w:val="004E0A68"/>
    <w:rsid w:val="004E1D5F"/>
    <w:rsid w:val="004E216A"/>
    <w:rsid w:val="004E30E3"/>
    <w:rsid w:val="004E3D31"/>
    <w:rsid w:val="004E3E71"/>
    <w:rsid w:val="004E3ECF"/>
    <w:rsid w:val="004E4047"/>
    <w:rsid w:val="004E410A"/>
    <w:rsid w:val="004E520F"/>
    <w:rsid w:val="004E5771"/>
    <w:rsid w:val="004E5E9C"/>
    <w:rsid w:val="004E62C9"/>
    <w:rsid w:val="004E6B4B"/>
    <w:rsid w:val="004F0A29"/>
    <w:rsid w:val="004F2462"/>
    <w:rsid w:val="004F3D48"/>
    <w:rsid w:val="004F3E1C"/>
    <w:rsid w:val="004F40C6"/>
    <w:rsid w:val="004F505C"/>
    <w:rsid w:val="004F54FC"/>
    <w:rsid w:val="004F5729"/>
    <w:rsid w:val="004F58F9"/>
    <w:rsid w:val="004F5E3D"/>
    <w:rsid w:val="004F6FA3"/>
    <w:rsid w:val="004F716A"/>
    <w:rsid w:val="004F72C0"/>
    <w:rsid w:val="004F7CE4"/>
    <w:rsid w:val="004F7E5B"/>
    <w:rsid w:val="00500DFC"/>
    <w:rsid w:val="00501787"/>
    <w:rsid w:val="00503777"/>
    <w:rsid w:val="005048A3"/>
    <w:rsid w:val="0050624A"/>
    <w:rsid w:val="0050666B"/>
    <w:rsid w:val="005066C0"/>
    <w:rsid w:val="005077E7"/>
    <w:rsid w:val="00507D2A"/>
    <w:rsid w:val="005107DE"/>
    <w:rsid w:val="00510F14"/>
    <w:rsid w:val="005128EC"/>
    <w:rsid w:val="00513110"/>
    <w:rsid w:val="00513330"/>
    <w:rsid w:val="005141E1"/>
    <w:rsid w:val="005142A0"/>
    <w:rsid w:val="0051477D"/>
    <w:rsid w:val="00515A02"/>
    <w:rsid w:val="00516107"/>
    <w:rsid w:val="00516C8D"/>
    <w:rsid w:val="0051715F"/>
    <w:rsid w:val="00517188"/>
    <w:rsid w:val="00520A17"/>
    <w:rsid w:val="00520AC7"/>
    <w:rsid w:val="00521B5C"/>
    <w:rsid w:val="00522DB8"/>
    <w:rsid w:val="00523268"/>
    <w:rsid w:val="005232D1"/>
    <w:rsid w:val="00524B0A"/>
    <w:rsid w:val="00525409"/>
    <w:rsid w:val="005255F6"/>
    <w:rsid w:val="0052567B"/>
    <w:rsid w:val="0052732B"/>
    <w:rsid w:val="005278AD"/>
    <w:rsid w:val="00527DE5"/>
    <w:rsid w:val="00530841"/>
    <w:rsid w:val="00530C13"/>
    <w:rsid w:val="005328D8"/>
    <w:rsid w:val="0053303E"/>
    <w:rsid w:val="00534778"/>
    <w:rsid w:val="005358DA"/>
    <w:rsid w:val="00536290"/>
    <w:rsid w:val="005368B2"/>
    <w:rsid w:val="0053743C"/>
    <w:rsid w:val="00537602"/>
    <w:rsid w:val="0053786A"/>
    <w:rsid w:val="00540ECD"/>
    <w:rsid w:val="005427F8"/>
    <w:rsid w:val="00546E57"/>
    <w:rsid w:val="00550351"/>
    <w:rsid w:val="00550EDA"/>
    <w:rsid w:val="00551145"/>
    <w:rsid w:val="00551A11"/>
    <w:rsid w:val="00551F4C"/>
    <w:rsid w:val="00551F77"/>
    <w:rsid w:val="005525C8"/>
    <w:rsid w:val="0055281E"/>
    <w:rsid w:val="005539A6"/>
    <w:rsid w:val="005540BE"/>
    <w:rsid w:val="005544CB"/>
    <w:rsid w:val="00554893"/>
    <w:rsid w:val="00554DA8"/>
    <w:rsid w:val="00554E37"/>
    <w:rsid w:val="0055606A"/>
    <w:rsid w:val="00556ACD"/>
    <w:rsid w:val="00556CE8"/>
    <w:rsid w:val="00557728"/>
    <w:rsid w:val="005600D6"/>
    <w:rsid w:val="00560DF9"/>
    <w:rsid w:val="005619AF"/>
    <w:rsid w:val="00561B85"/>
    <w:rsid w:val="00562370"/>
    <w:rsid w:val="00562BF2"/>
    <w:rsid w:val="00562E19"/>
    <w:rsid w:val="00563092"/>
    <w:rsid w:val="00563E92"/>
    <w:rsid w:val="005641BB"/>
    <w:rsid w:val="00564F14"/>
    <w:rsid w:val="00565370"/>
    <w:rsid w:val="00565BFD"/>
    <w:rsid w:val="005665F3"/>
    <w:rsid w:val="00567231"/>
    <w:rsid w:val="0057205A"/>
    <w:rsid w:val="005724B0"/>
    <w:rsid w:val="00572F7C"/>
    <w:rsid w:val="0057340A"/>
    <w:rsid w:val="0057418C"/>
    <w:rsid w:val="00574446"/>
    <w:rsid w:val="00575995"/>
    <w:rsid w:val="005768BB"/>
    <w:rsid w:val="00576A97"/>
    <w:rsid w:val="00577385"/>
    <w:rsid w:val="00580CA2"/>
    <w:rsid w:val="00582784"/>
    <w:rsid w:val="00582EDA"/>
    <w:rsid w:val="005840F9"/>
    <w:rsid w:val="00585386"/>
    <w:rsid w:val="005861E4"/>
    <w:rsid w:val="00586FD3"/>
    <w:rsid w:val="00593D04"/>
    <w:rsid w:val="00594068"/>
    <w:rsid w:val="00594558"/>
    <w:rsid w:val="00594724"/>
    <w:rsid w:val="00594F5E"/>
    <w:rsid w:val="00594FDC"/>
    <w:rsid w:val="00595491"/>
    <w:rsid w:val="0059569D"/>
    <w:rsid w:val="0059604E"/>
    <w:rsid w:val="005968B2"/>
    <w:rsid w:val="00597082"/>
    <w:rsid w:val="005975B6"/>
    <w:rsid w:val="00597997"/>
    <w:rsid w:val="00597B20"/>
    <w:rsid w:val="005A01BC"/>
    <w:rsid w:val="005A071B"/>
    <w:rsid w:val="005A18F0"/>
    <w:rsid w:val="005A268E"/>
    <w:rsid w:val="005A33A9"/>
    <w:rsid w:val="005A349D"/>
    <w:rsid w:val="005A42F6"/>
    <w:rsid w:val="005A462A"/>
    <w:rsid w:val="005A55E9"/>
    <w:rsid w:val="005A610F"/>
    <w:rsid w:val="005A7817"/>
    <w:rsid w:val="005A7D1E"/>
    <w:rsid w:val="005B1B81"/>
    <w:rsid w:val="005B20BB"/>
    <w:rsid w:val="005B2E25"/>
    <w:rsid w:val="005B4923"/>
    <w:rsid w:val="005B596A"/>
    <w:rsid w:val="005B6ABB"/>
    <w:rsid w:val="005C0044"/>
    <w:rsid w:val="005C08D5"/>
    <w:rsid w:val="005C0B9D"/>
    <w:rsid w:val="005C0D90"/>
    <w:rsid w:val="005C19A9"/>
    <w:rsid w:val="005C1AC3"/>
    <w:rsid w:val="005C1BE5"/>
    <w:rsid w:val="005C2979"/>
    <w:rsid w:val="005C35A3"/>
    <w:rsid w:val="005C50DD"/>
    <w:rsid w:val="005C5197"/>
    <w:rsid w:val="005C5C03"/>
    <w:rsid w:val="005C6652"/>
    <w:rsid w:val="005C712A"/>
    <w:rsid w:val="005C7994"/>
    <w:rsid w:val="005D0572"/>
    <w:rsid w:val="005D19FA"/>
    <w:rsid w:val="005D1DE4"/>
    <w:rsid w:val="005D2CEE"/>
    <w:rsid w:val="005D3741"/>
    <w:rsid w:val="005D477D"/>
    <w:rsid w:val="005D4A85"/>
    <w:rsid w:val="005D4CB6"/>
    <w:rsid w:val="005D5248"/>
    <w:rsid w:val="005D6872"/>
    <w:rsid w:val="005D7E7E"/>
    <w:rsid w:val="005E0708"/>
    <w:rsid w:val="005E1166"/>
    <w:rsid w:val="005E341C"/>
    <w:rsid w:val="005E370A"/>
    <w:rsid w:val="005E3712"/>
    <w:rsid w:val="005E3889"/>
    <w:rsid w:val="005E38BD"/>
    <w:rsid w:val="005E3A1A"/>
    <w:rsid w:val="005E3EFE"/>
    <w:rsid w:val="005E4571"/>
    <w:rsid w:val="005E4F47"/>
    <w:rsid w:val="005E62EF"/>
    <w:rsid w:val="005E7325"/>
    <w:rsid w:val="005F1000"/>
    <w:rsid w:val="005F1DDF"/>
    <w:rsid w:val="005F2D2E"/>
    <w:rsid w:val="005F31B8"/>
    <w:rsid w:val="005F3E0E"/>
    <w:rsid w:val="005F4278"/>
    <w:rsid w:val="005F5819"/>
    <w:rsid w:val="005F585B"/>
    <w:rsid w:val="005F5E8D"/>
    <w:rsid w:val="005F6320"/>
    <w:rsid w:val="005F79D1"/>
    <w:rsid w:val="00600072"/>
    <w:rsid w:val="00602746"/>
    <w:rsid w:val="00602D9B"/>
    <w:rsid w:val="00602E4F"/>
    <w:rsid w:val="006034DC"/>
    <w:rsid w:val="00603C50"/>
    <w:rsid w:val="006042E9"/>
    <w:rsid w:val="00605071"/>
    <w:rsid w:val="00606298"/>
    <w:rsid w:val="00606394"/>
    <w:rsid w:val="006067DE"/>
    <w:rsid w:val="00607B6B"/>
    <w:rsid w:val="0061100B"/>
    <w:rsid w:val="00613283"/>
    <w:rsid w:val="006145EA"/>
    <w:rsid w:val="00614BDE"/>
    <w:rsid w:val="00614E4C"/>
    <w:rsid w:val="00615E27"/>
    <w:rsid w:val="00616669"/>
    <w:rsid w:val="00620938"/>
    <w:rsid w:val="00621D6C"/>
    <w:rsid w:val="0062326A"/>
    <w:rsid w:val="0062363D"/>
    <w:rsid w:val="00623BAD"/>
    <w:rsid w:val="006244A1"/>
    <w:rsid w:val="00624FE9"/>
    <w:rsid w:val="0062561D"/>
    <w:rsid w:val="006263D1"/>
    <w:rsid w:val="006267D1"/>
    <w:rsid w:val="006274AE"/>
    <w:rsid w:val="0063022A"/>
    <w:rsid w:val="00630CA8"/>
    <w:rsid w:val="00630F1B"/>
    <w:rsid w:val="006311F4"/>
    <w:rsid w:val="00631303"/>
    <w:rsid w:val="00632DC3"/>
    <w:rsid w:val="00633139"/>
    <w:rsid w:val="006338CB"/>
    <w:rsid w:val="00636179"/>
    <w:rsid w:val="006361EB"/>
    <w:rsid w:val="00637B5D"/>
    <w:rsid w:val="006400CD"/>
    <w:rsid w:val="006404D9"/>
    <w:rsid w:val="006406C9"/>
    <w:rsid w:val="00641455"/>
    <w:rsid w:val="00641F4C"/>
    <w:rsid w:val="00643E03"/>
    <w:rsid w:val="00646C23"/>
    <w:rsid w:val="00646CF1"/>
    <w:rsid w:val="0064727C"/>
    <w:rsid w:val="006503B2"/>
    <w:rsid w:val="00650742"/>
    <w:rsid w:val="00652B2C"/>
    <w:rsid w:val="00652C12"/>
    <w:rsid w:val="0065361F"/>
    <w:rsid w:val="006536F9"/>
    <w:rsid w:val="0065425A"/>
    <w:rsid w:val="00654E14"/>
    <w:rsid w:val="00654ED1"/>
    <w:rsid w:val="006556C1"/>
    <w:rsid w:val="00656D26"/>
    <w:rsid w:val="00656DAA"/>
    <w:rsid w:val="0065776A"/>
    <w:rsid w:val="0066221B"/>
    <w:rsid w:val="006635AE"/>
    <w:rsid w:val="006638E6"/>
    <w:rsid w:val="006645FB"/>
    <w:rsid w:val="00664676"/>
    <w:rsid w:val="00664E96"/>
    <w:rsid w:val="006654E6"/>
    <w:rsid w:val="00665DB4"/>
    <w:rsid w:val="00666002"/>
    <w:rsid w:val="00666319"/>
    <w:rsid w:val="006675FA"/>
    <w:rsid w:val="0067055F"/>
    <w:rsid w:val="0067062E"/>
    <w:rsid w:val="00670703"/>
    <w:rsid w:val="00670868"/>
    <w:rsid w:val="00670BDD"/>
    <w:rsid w:val="0067138C"/>
    <w:rsid w:val="0067153B"/>
    <w:rsid w:val="00671D6B"/>
    <w:rsid w:val="006727E1"/>
    <w:rsid w:val="006728BB"/>
    <w:rsid w:val="006762F8"/>
    <w:rsid w:val="00676B45"/>
    <w:rsid w:val="00676CBD"/>
    <w:rsid w:val="0067754E"/>
    <w:rsid w:val="006776C6"/>
    <w:rsid w:val="0067776A"/>
    <w:rsid w:val="00677BAC"/>
    <w:rsid w:val="00681A89"/>
    <w:rsid w:val="0068210F"/>
    <w:rsid w:val="00682CAF"/>
    <w:rsid w:val="0068305C"/>
    <w:rsid w:val="0068409A"/>
    <w:rsid w:val="0068568E"/>
    <w:rsid w:val="006862A4"/>
    <w:rsid w:val="00687DA5"/>
    <w:rsid w:val="00690799"/>
    <w:rsid w:val="00690EA6"/>
    <w:rsid w:val="0069156B"/>
    <w:rsid w:val="006921D3"/>
    <w:rsid w:val="00692581"/>
    <w:rsid w:val="00692F27"/>
    <w:rsid w:val="00695190"/>
    <w:rsid w:val="006956F2"/>
    <w:rsid w:val="00695F35"/>
    <w:rsid w:val="00697C44"/>
    <w:rsid w:val="006A0115"/>
    <w:rsid w:val="006A05FC"/>
    <w:rsid w:val="006A2049"/>
    <w:rsid w:val="006A2664"/>
    <w:rsid w:val="006A2848"/>
    <w:rsid w:val="006A2AA8"/>
    <w:rsid w:val="006A4E19"/>
    <w:rsid w:val="006A52DC"/>
    <w:rsid w:val="006A58C9"/>
    <w:rsid w:val="006A6909"/>
    <w:rsid w:val="006A7150"/>
    <w:rsid w:val="006B18F3"/>
    <w:rsid w:val="006B1FAB"/>
    <w:rsid w:val="006B3372"/>
    <w:rsid w:val="006B3F39"/>
    <w:rsid w:val="006B47F1"/>
    <w:rsid w:val="006B4F8C"/>
    <w:rsid w:val="006B5F53"/>
    <w:rsid w:val="006B79CC"/>
    <w:rsid w:val="006B7A90"/>
    <w:rsid w:val="006B7D25"/>
    <w:rsid w:val="006C2D23"/>
    <w:rsid w:val="006C3CC7"/>
    <w:rsid w:val="006C4228"/>
    <w:rsid w:val="006C5340"/>
    <w:rsid w:val="006C59B1"/>
    <w:rsid w:val="006C5DC1"/>
    <w:rsid w:val="006C63AC"/>
    <w:rsid w:val="006C6B1D"/>
    <w:rsid w:val="006C75F4"/>
    <w:rsid w:val="006D020A"/>
    <w:rsid w:val="006D0450"/>
    <w:rsid w:val="006D0E53"/>
    <w:rsid w:val="006D0E7E"/>
    <w:rsid w:val="006D1605"/>
    <w:rsid w:val="006D1D89"/>
    <w:rsid w:val="006D2043"/>
    <w:rsid w:val="006D233A"/>
    <w:rsid w:val="006D2CD1"/>
    <w:rsid w:val="006D2DC6"/>
    <w:rsid w:val="006D3188"/>
    <w:rsid w:val="006D321B"/>
    <w:rsid w:val="006D34E4"/>
    <w:rsid w:val="006D3EF9"/>
    <w:rsid w:val="006D46C4"/>
    <w:rsid w:val="006D5C6C"/>
    <w:rsid w:val="006D635B"/>
    <w:rsid w:val="006D6393"/>
    <w:rsid w:val="006E1EAC"/>
    <w:rsid w:val="006E211C"/>
    <w:rsid w:val="006E2CAF"/>
    <w:rsid w:val="006E33C3"/>
    <w:rsid w:val="006E34A7"/>
    <w:rsid w:val="006E34A8"/>
    <w:rsid w:val="006E3687"/>
    <w:rsid w:val="006E47E5"/>
    <w:rsid w:val="006E4BD3"/>
    <w:rsid w:val="006E5AA6"/>
    <w:rsid w:val="006E5C26"/>
    <w:rsid w:val="006E5D5D"/>
    <w:rsid w:val="006E6398"/>
    <w:rsid w:val="006E743F"/>
    <w:rsid w:val="006F04D1"/>
    <w:rsid w:val="006F1731"/>
    <w:rsid w:val="006F1908"/>
    <w:rsid w:val="006F2686"/>
    <w:rsid w:val="006F2AFC"/>
    <w:rsid w:val="006F31E9"/>
    <w:rsid w:val="006F49D3"/>
    <w:rsid w:val="006F4C3D"/>
    <w:rsid w:val="006F63CD"/>
    <w:rsid w:val="006F67AF"/>
    <w:rsid w:val="006F69AA"/>
    <w:rsid w:val="006F7239"/>
    <w:rsid w:val="006F7677"/>
    <w:rsid w:val="006F7AB4"/>
    <w:rsid w:val="006F7C64"/>
    <w:rsid w:val="00700416"/>
    <w:rsid w:val="00700964"/>
    <w:rsid w:val="00701C82"/>
    <w:rsid w:val="00702EDE"/>
    <w:rsid w:val="00705020"/>
    <w:rsid w:val="00706041"/>
    <w:rsid w:val="0070621A"/>
    <w:rsid w:val="00707B4A"/>
    <w:rsid w:val="0071006E"/>
    <w:rsid w:val="007100F5"/>
    <w:rsid w:val="007105DB"/>
    <w:rsid w:val="007109C6"/>
    <w:rsid w:val="00712042"/>
    <w:rsid w:val="0071236B"/>
    <w:rsid w:val="00712E9E"/>
    <w:rsid w:val="00714420"/>
    <w:rsid w:val="0071577E"/>
    <w:rsid w:val="0071594E"/>
    <w:rsid w:val="00716DCF"/>
    <w:rsid w:val="007212FE"/>
    <w:rsid w:val="007214C8"/>
    <w:rsid w:val="00721868"/>
    <w:rsid w:val="00722549"/>
    <w:rsid w:val="00722921"/>
    <w:rsid w:val="00722A3F"/>
    <w:rsid w:val="00723DA1"/>
    <w:rsid w:val="00723FC8"/>
    <w:rsid w:val="007247E6"/>
    <w:rsid w:val="00724FBE"/>
    <w:rsid w:val="007256C0"/>
    <w:rsid w:val="00727404"/>
    <w:rsid w:val="00727A0A"/>
    <w:rsid w:val="00730714"/>
    <w:rsid w:val="00730D6B"/>
    <w:rsid w:val="0073184D"/>
    <w:rsid w:val="007318E3"/>
    <w:rsid w:val="00732554"/>
    <w:rsid w:val="00734698"/>
    <w:rsid w:val="007354EE"/>
    <w:rsid w:val="007359C7"/>
    <w:rsid w:val="007368B1"/>
    <w:rsid w:val="00736BB7"/>
    <w:rsid w:val="00736CFE"/>
    <w:rsid w:val="0073725C"/>
    <w:rsid w:val="00740BF0"/>
    <w:rsid w:val="00740DF8"/>
    <w:rsid w:val="00743C9C"/>
    <w:rsid w:val="007448E8"/>
    <w:rsid w:val="00744D52"/>
    <w:rsid w:val="00745983"/>
    <w:rsid w:val="007459B8"/>
    <w:rsid w:val="00745E7E"/>
    <w:rsid w:val="007467FC"/>
    <w:rsid w:val="00746BAA"/>
    <w:rsid w:val="00747578"/>
    <w:rsid w:val="007513D2"/>
    <w:rsid w:val="00751670"/>
    <w:rsid w:val="00751BBB"/>
    <w:rsid w:val="007522EB"/>
    <w:rsid w:val="00752819"/>
    <w:rsid w:val="00752A53"/>
    <w:rsid w:val="00753F81"/>
    <w:rsid w:val="00754565"/>
    <w:rsid w:val="00754636"/>
    <w:rsid w:val="0075484E"/>
    <w:rsid w:val="00754B37"/>
    <w:rsid w:val="00754C14"/>
    <w:rsid w:val="007554F2"/>
    <w:rsid w:val="0075633A"/>
    <w:rsid w:val="00756FB0"/>
    <w:rsid w:val="00757012"/>
    <w:rsid w:val="0075716D"/>
    <w:rsid w:val="0075746E"/>
    <w:rsid w:val="00757971"/>
    <w:rsid w:val="00760411"/>
    <w:rsid w:val="00760A6D"/>
    <w:rsid w:val="00761C57"/>
    <w:rsid w:val="007620F5"/>
    <w:rsid w:val="0076273D"/>
    <w:rsid w:val="00764619"/>
    <w:rsid w:val="00766A1C"/>
    <w:rsid w:val="00767794"/>
    <w:rsid w:val="007705FB"/>
    <w:rsid w:val="007708F7"/>
    <w:rsid w:val="00771304"/>
    <w:rsid w:val="00772695"/>
    <w:rsid w:val="007733EA"/>
    <w:rsid w:val="0077343D"/>
    <w:rsid w:val="007742A9"/>
    <w:rsid w:val="007746E1"/>
    <w:rsid w:val="00774E87"/>
    <w:rsid w:val="00775CA9"/>
    <w:rsid w:val="00775DB0"/>
    <w:rsid w:val="00776018"/>
    <w:rsid w:val="00776394"/>
    <w:rsid w:val="007769FB"/>
    <w:rsid w:val="00776AA2"/>
    <w:rsid w:val="00776B25"/>
    <w:rsid w:val="00777F82"/>
    <w:rsid w:val="00780426"/>
    <w:rsid w:val="007809A0"/>
    <w:rsid w:val="00781F4F"/>
    <w:rsid w:val="00781F88"/>
    <w:rsid w:val="00782A7C"/>
    <w:rsid w:val="00782BA3"/>
    <w:rsid w:val="00782CA4"/>
    <w:rsid w:val="00783621"/>
    <w:rsid w:val="007836FD"/>
    <w:rsid w:val="0078383A"/>
    <w:rsid w:val="00783E77"/>
    <w:rsid w:val="00784B40"/>
    <w:rsid w:val="007866B7"/>
    <w:rsid w:val="0078754D"/>
    <w:rsid w:val="00787BB2"/>
    <w:rsid w:val="00787E76"/>
    <w:rsid w:val="00790144"/>
    <w:rsid w:val="00790338"/>
    <w:rsid w:val="00790EA0"/>
    <w:rsid w:val="00791FB6"/>
    <w:rsid w:val="007927AA"/>
    <w:rsid w:val="00793387"/>
    <w:rsid w:val="0079510F"/>
    <w:rsid w:val="007963BD"/>
    <w:rsid w:val="007A070E"/>
    <w:rsid w:val="007A0AE4"/>
    <w:rsid w:val="007A1875"/>
    <w:rsid w:val="007A1B9A"/>
    <w:rsid w:val="007A1EAA"/>
    <w:rsid w:val="007A2A38"/>
    <w:rsid w:val="007A2B7D"/>
    <w:rsid w:val="007A416A"/>
    <w:rsid w:val="007A43B9"/>
    <w:rsid w:val="007A4CF0"/>
    <w:rsid w:val="007A5374"/>
    <w:rsid w:val="007A5531"/>
    <w:rsid w:val="007A5BA2"/>
    <w:rsid w:val="007A653C"/>
    <w:rsid w:val="007B1B80"/>
    <w:rsid w:val="007B3687"/>
    <w:rsid w:val="007B407E"/>
    <w:rsid w:val="007B4B35"/>
    <w:rsid w:val="007B7521"/>
    <w:rsid w:val="007C13BE"/>
    <w:rsid w:val="007C150A"/>
    <w:rsid w:val="007C1878"/>
    <w:rsid w:val="007C1EC5"/>
    <w:rsid w:val="007C205D"/>
    <w:rsid w:val="007C21AC"/>
    <w:rsid w:val="007C4276"/>
    <w:rsid w:val="007C4E1A"/>
    <w:rsid w:val="007C5A9D"/>
    <w:rsid w:val="007C5AD7"/>
    <w:rsid w:val="007C5AFB"/>
    <w:rsid w:val="007C6222"/>
    <w:rsid w:val="007C6236"/>
    <w:rsid w:val="007C62D8"/>
    <w:rsid w:val="007C7927"/>
    <w:rsid w:val="007D0577"/>
    <w:rsid w:val="007D0B3D"/>
    <w:rsid w:val="007D0CB6"/>
    <w:rsid w:val="007D14DA"/>
    <w:rsid w:val="007D2ADC"/>
    <w:rsid w:val="007D2B8B"/>
    <w:rsid w:val="007D373D"/>
    <w:rsid w:val="007D3DB1"/>
    <w:rsid w:val="007D5C55"/>
    <w:rsid w:val="007D6507"/>
    <w:rsid w:val="007D6953"/>
    <w:rsid w:val="007D79EA"/>
    <w:rsid w:val="007D7D14"/>
    <w:rsid w:val="007E0707"/>
    <w:rsid w:val="007E0CC4"/>
    <w:rsid w:val="007E11A3"/>
    <w:rsid w:val="007E13E2"/>
    <w:rsid w:val="007E3D32"/>
    <w:rsid w:val="007E41D8"/>
    <w:rsid w:val="007E5159"/>
    <w:rsid w:val="007E5617"/>
    <w:rsid w:val="007E5C19"/>
    <w:rsid w:val="007E5FB2"/>
    <w:rsid w:val="007E6055"/>
    <w:rsid w:val="007E676C"/>
    <w:rsid w:val="007E696D"/>
    <w:rsid w:val="007E6AEE"/>
    <w:rsid w:val="007E74D6"/>
    <w:rsid w:val="007E778B"/>
    <w:rsid w:val="007E7C34"/>
    <w:rsid w:val="007F01AE"/>
    <w:rsid w:val="007F1287"/>
    <w:rsid w:val="007F17E4"/>
    <w:rsid w:val="007F2AD1"/>
    <w:rsid w:val="007F2F96"/>
    <w:rsid w:val="007F3188"/>
    <w:rsid w:val="007F40A2"/>
    <w:rsid w:val="007F41A0"/>
    <w:rsid w:val="007F433F"/>
    <w:rsid w:val="007F44BE"/>
    <w:rsid w:val="007F45F7"/>
    <w:rsid w:val="007F4A5B"/>
    <w:rsid w:val="007F5980"/>
    <w:rsid w:val="007F60D6"/>
    <w:rsid w:val="0080086A"/>
    <w:rsid w:val="00800F78"/>
    <w:rsid w:val="0080350B"/>
    <w:rsid w:val="00803B66"/>
    <w:rsid w:val="00804803"/>
    <w:rsid w:val="00804EC8"/>
    <w:rsid w:val="00805BA4"/>
    <w:rsid w:val="008060DA"/>
    <w:rsid w:val="00806349"/>
    <w:rsid w:val="00806AA5"/>
    <w:rsid w:val="00807165"/>
    <w:rsid w:val="00811D7C"/>
    <w:rsid w:val="00811EB5"/>
    <w:rsid w:val="0081273F"/>
    <w:rsid w:val="00813B7E"/>
    <w:rsid w:val="00813E05"/>
    <w:rsid w:val="008151DE"/>
    <w:rsid w:val="008154E3"/>
    <w:rsid w:val="00815FF9"/>
    <w:rsid w:val="00816678"/>
    <w:rsid w:val="00816BE5"/>
    <w:rsid w:val="00817331"/>
    <w:rsid w:val="0082007D"/>
    <w:rsid w:val="00821448"/>
    <w:rsid w:val="00824230"/>
    <w:rsid w:val="00824F04"/>
    <w:rsid w:val="00827177"/>
    <w:rsid w:val="00827CB1"/>
    <w:rsid w:val="00827DB0"/>
    <w:rsid w:val="00827E95"/>
    <w:rsid w:val="008303FA"/>
    <w:rsid w:val="008320F2"/>
    <w:rsid w:val="0083281C"/>
    <w:rsid w:val="00832D90"/>
    <w:rsid w:val="00832EE7"/>
    <w:rsid w:val="00834C32"/>
    <w:rsid w:val="008355A3"/>
    <w:rsid w:val="008369A6"/>
    <w:rsid w:val="00836AB7"/>
    <w:rsid w:val="00836F6B"/>
    <w:rsid w:val="008374C4"/>
    <w:rsid w:val="00840303"/>
    <w:rsid w:val="008419C2"/>
    <w:rsid w:val="00841F9F"/>
    <w:rsid w:val="008420F7"/>
    <w:rsid w:val="008440AA"/>
    <w:rsid w:val="008440BA"/>
    <w:rsid w:val="00844571"/>
    <w:rsid w:val="00844A83"/>
    <w:rsid w:val="00845034"/>
    <w:rsid w:val="008458A0"/>
    <w:rsid w:val="00845A3F"/>
    <w:rsid w:val="00845F99"/>
    <w:rsid w:val="008470D8"/>
    <w:rsid w:val="00847FDF"/>
    <w:rsid w:val="00850017"/>
    <w:rsid w:val="00850443"/>
    <w:rsid w:val="00850B51"/>
    <w:rsid w:val="00850C60"/>
    <w:rsid w:val="00850E44"/>
    <w:rsid w:val="00851942"/>
    <w:rsid w:val="008521B2"/>
    <w:rsid w:val="008522CA"/>
    <w:rsid w:val="00852CC1"/>
    <w:rsid w:val="008532AC"/>
    <w:rsid w:val="0085333F"/>
    <w:rsid w:val="00853A99"/>
    <w:rsid w:val="008551B5"/>
    <w:rsid w:val="008557AD"/>
    <w:rsid w:val="00855C04"/>
    <w:rsid w:val="00856308"/>
    <w:rsid w:val="00856C9B"/>
    <w:rsid w:val="00856F6E"/>
    <w:rsid w:val="00860BBF"/>
    <w:rsid w:val="008610A7"/>
    <w:rsid w:val="008613CD"/>
    <w:rsid w:val="00861867"/>
    <w:rsid w:val="0086209D"/>
    <w:rsid w:val="008627AB"/>
    <w:rsid w:val="00862CDC"/>
    <w:rsid w:val="008632EC"/>
    <w:rsid w:val="00863ED9"/>
    <w:rsid w:val="0086445D"/>
    <w:rsid w:val="00865FFF"/>
    <w:rsid w:val="00866826"/>
    <w:rsid w:val="00866C6D"/>
    <w:rsid w:val="00866E6C"/>
    <w:rsid w:val="008701CB"/>
    <w:rsid w:val="008709C6"/>
    <w:rsid w:val="00870BDE"/>
    <w:rsid w:val="00871BDB"/>
    <w:rsid w:val="008720B6"/>
    <w:rsid w:val="0087212D"/>
    <w:rsid w:val="008723AE"/>
    <w:rsid w:val="00872436"/>
    <w:rsid w:val="008725A7"/>
    <w:rsid w:val="00872DA4"/>
    <w:rsid w:val="00872E9C"/>
    <w:rsid w:val="00873E8A"/>
    <w:rsid w:val="008744BC"/>
    <w:rsid w:val="00874515"/>
    <w:rsid w:val="008745AF"/>
    <w:rsid w:val="00874B0B"/>
    <w:rsid w:val="00875BD3"/>
    <w:rsid w:val="00877966"/>
    <w:rsid w:val="00880B5D"/>
    <w:rsid w:val="008811D5"/>
    <w:rsid w:val="008818A9"/>
    <w:rsid w:val="0088196A"/>
    <w:rsid w:val="008820B9"/>
    <w:rsid w:val="008822D8"/>
    <w:rsid w:val="008833F6"/>
    <w:rsid w:val="00883F29"/>
    <w:rsid w:val="008842A5"/>
    <w:rsid w:val="0088544A"/>
    <w:rsid w:val="0088549F"/>
    <w:rsid w:val="008858FE"/>
    <w:rsid w:val="00886841"/>
    <w:rsid w:val="00886B9D"/>
    <w:rsid w:val="00886E1D"/>
    <w:rsid w:val="008905C9"/>
    <w:rsid w:val="00890A23"/>
    <w:rsid w:val="00891144"/>
    <w:rsid w:val="00891609"/>
    <w:rsid w:val="0089193C"/>
    <w:rsid w:val="00892362"/>
    <w:rsid w:val="008926C6"/>
    <w:rsid w:val="008927FF"/>
    <w:rsid w:val="00893630"/>
    <w:rsid w:val="00893C8A"/>
    <w:rsid w:val="00894DC2"/>
    <w:rsid w:val="00895F40"/>
    <w:rsid w:val="008968F3"/>
    <w:rsid w:val="00896C6E"/>
    <w:rsid w:val="00897622"/>
    <w:rsid w:val="00897B67"/>
    <w:rsid w:val="008A03C9"/>
    <w:rsid w:val="008A0649"/>
    <w:rsid w:val="008A189E"/>
    <w:rsid w:val="008A336E"/>
    <w:rsid w:val="008A3A07"/>
    <w:rsid w:val="008A44E6"/>
    <w:rsid w:val="008A53B1"/>
    <w:rsid w:val="008A6143"/>
    <w:rsid w:val="008A62D0"/>
    <w:rsid w:val="008A65F1"/>
    <w:rsid w:val="008A675D"/>
    <w:rsid w:val="008A6A27"/>
    <w:rsid w:val="008A7598"/>
    <w:rsid w:val="008B029B"/>
    <w:rsid w:val="008B0C94"/>
    <w:rsid w:val="008B1B2F"/>
    <w:rsid w:val="008B1E02"/>
    <w:rsid w:val="008B2826"/>
    <w:rsid w:val="008B2D27"/>
    <w:rsid w:val="008B41F6"/>
    <w:rsid w:val="008B434D"/>
    <w:rsid w:val="008B4838"/>
    <w:rsid w:val="008B5CA6"/>
    <w:rsid w:val="008B6BB3"/>
    <w:rsid w:val="008B7843"/>
    <w:rsid w:val="008C02E7"/>
    <w:rsid w:val="008C0F4F"/>
    <w:rsid w:val="008C18FC"/>
    <w:rsid w:val="008C1AE4"/>
    <w:rsid w:val="008C1D2B"/>
    <w:rsid w:val="008C3C26"/>
    <w:rsid w:val="008C4700"/>
    <w:rsid w:val="008C5F44"/>
    <w:rsid w:val="008C7134"/>
    <w:rsid w:val="008C7940"/>
    <w:rsid w:val="008C7B25"/>
    <w:rsid w:val="008D0668"/>
    <w:rsid w:val="008D133D"/>
    <w:rsid w:val="008D1538"/>
    <w:rsid w:val="008D1723"/>
    <w:rsid w:val="008D355D"/>
    <w:rsid w:val="008D37A7"/>
    <w:rsid w:val="008D43A5"/>
    <w:rsid w:val="008D4941"/>
    <w:rsid w:val="008D52B7"/>
    <w:rsid w:val="008D5AB2"/>
    <w:rsid w:val="008D682D"/>
    <w:rsid w:val="008E0414"/>
    <w:rsid w:val="008E0542"/>
    <w:rsid w:val="008E1A18"/>
    <w:rsid w:val="008E1A5B"/>
    <w:rsid w:val="008E1BF7"/>
    <w:rsid w:val="008E258D"/>
    <w:rsid w:val="008E2F3A"/>
    <w:rsid w:val="008E3291"/>
    <w:rsid w:val="008E3AD1"/>
    <w:rsid w:val="008E3C33"/>
    <w:rsid w:val="008E4472"/>
    <w:rsid w:val="008E47A5"/>
    <w:rsid w:val="008E4C18"/>
    <w:rsid w:val="008E524D"/>
    <w:rsid w:val="008E5B4F"/>
    <w:rsid w:val="008E5DA1"/>
    <w:rsid w:val="008E6ECE"/>
    <w:rsid w:val="008E77F7"/>
    <w:rsid w:val="008F0269"/>
    <w:rsid w:val="008F0988"/>
    <w:rsid w:val="008F0D3A"/>
    <w:rsid w:val="008F23BB"/>
    <w:rsid w:val="008F2680"/>
    <w:rsid w:val="008F2C10"/>
    <w:rsid w:val="008F31C6"/>
    <w:rsid w:val="008F52C4"/>
    <w:rsid w:val="008F5DD7"/>
    <w:rsid w:val="00900325"/>
    <w:rsid w:val="00901916"/>
    <w:rsid w:val="00901F8F"/>
    <w:rsid w:val="009025B0"/>
    <w:rsid w:val="00902F3D"/>
    <w:rsid w:val="00903501"/>
    <w:rsid w:val="00903AF0"/>
    <w:rsid w:val="00904465"/>
    <w:rsid w:val="00906499"/>
    <w:rsid w:val="00906F0B"/>
    <w:rsid w:val="009076C7"/>
    <w:rsid w:val="0091012F"/>
    <w:rsid w:val="00914AAB"/>
    <w:rsid w:val="00915BB6"/>
    <w:rsid w:val="00916D7C"/>
    <w:rsid w:val="0091721F"/>
    <w:rsid w:val="00917E0E"/>
    <w:rsid w:val="009203F3"/>
    <w:rsid w:val="00922231"/>
    <w:rsid w:val="00922624"/>
    <w:rsid w:val="0092351E"/>
    <w:rsid w:val="009248A9"/>
    <w:rsid w:val="009248AB"/>
    <w:rsid w:val="00925F3B"/>
    <w:rsid w:val="00926B6B"/>
    <w:rsid w:val="00927F44"/>
    <w:rsid w:val="00930260"/>
    <w:rsid w:val="009304AA"/>
    <w:rsid w:val="0093243A"/>
    <w:rsid w:val="009328A3"/>
    <w:rsid w:val="00932B74"/>
    <w:rsid w:val="00935708"/>
    <w:rsid w:val="0093584E"/>
    <w:rsid w:val="009363CE"/>
    <w:rsid w:val="00936D19"/>
    <w:rsid w:val="00940003"/>
    <w:rsid w:val="00940397"/>
    <w:rsid w:val="009406DE"/>
    <w:rsid w:val="0094162B"/>
    <w:rsid w:val="00941A7E"/>
    <w:rsid w:val="00942009"/>
    <w:rsid w:val="00942924"/>
    <w:rsid w:val="00943FCC"/>
    <w:rsid w:val="00946188"/>
    <w:rsid w:val="00946B26"/>
    <w:rsid w:val="0094772F"/>
    <w:rsid w:val="00950528"/>
    <w:rsid w:val="00950602"/>
    <w:rsid w:val="0095068B"/>
    <w:rsid w:val="00950B5E"/>
    <w:rsid w:val="00952CC2"/>
    <w:rsid w:val="00952F85"/>
    <w:rsid w:val="00953442"/>
    <w:rsid w:val="009537F3"/>
    <w:rsid w:val="00953D79"/>
    <w:rsid w:val="009545FB"/>
    <w:rsid w:val="00956C95"/>
    <w:rsid w:val="009608DD"/>
    <w:rsid w:val="009612FC"/>
    <w:rsid w:val="00961446"/>
    <w:rsid w:val="009638DE"/>
    <w:rsid w:val="00965163"/>
    <w:rsid w:val="0096558C"/>
    <w:rsid w:val="00965EAA"/>
    <w:rsid w:val="00966671"/>
    <w:rsid w:val="00967181"/>
    <w:rsid w:val="009674ED"/>
    <w:rsid w:val="0097184D"/>
    <w:rsid w:val="00972063"/>
    <w:rsid w:val="009722FC"/>
    <w:rsid w:val="00973538"/>
    <w:rsid w:val="009744F2"/>
    <w:rsid w:val="0097474B"/>
    <w:rsid w:val="009759CA"/>
    <w:rsid w:val="009764FA"/>
    <w:rsid w:val="00976924"/>
    <w:rsid w:val="00976AD0"/>
    <w:rsid w:val="00977718"/>
    <w:rsid w:val="009778E1"/>
    <w:rsid w:val="00980410"/>
    <w:rsid w:val="0098086F"/>
    <w:rsid w:val="009812B6"/>
    <w:rsid w:val="0098152B"/>
    <w:rsid w:val="00981E4E"/>
    <w:rsid w:val="00981EA2"/>
    <w:rsid w:val="00982348"/>
    <w:rsid w:val="00982A7B"/>
    <w:rsid w:val="00982BFB"/>
    <w:rsid w:val="0098312A"/>
    <w:rsid w:val="0098334D"/>
    <w:rsid w:val="00985250"/>
    <w:rsid w:val="009857CF"/>
    <w:rsid w:val="009858A3"/>
    <w:rsid w:val="00985F4A"/>
    <w:rsid w:val="009868A6"/>
    <w:rsid w:val="009868AC"/>
    <w:rsid w:val="00986B77"/>
    <w:rsid w:val="00987F45"/>
    <w:rsid w:val="00990361"/>
    <w:rsid w:val="00990915"/>
    <w:rsid w:val="009911C2"/>
    <w:rsid w:val="00991458"/>
    <w:rsid w:val="009916D0"/>
    <w:rsid w:val="00991AF5"/>
    <w:rsid w:val="0099210E"/>
    <w:rsid w:val="00992EC9"/>
    <w:rsid w:val="00993E40"/>
    <w:rsid w:val="00994A31"/>
    <w:rsid w:val="00995BF3"/>
    <w:rsid w:val="00996598"/>
    <w:rsid w:val="00996FD3"/>
    <w:rsid w:val="00997702"/>
    <w:rsid w:val="0099782E"/>
    <w:rsid w:val="00997BF8"/>
    <w:rsid w:val="009A064A"/>
    <w:rsid w:val="009A2673"/>
    <w:rsid w:val="009A2D98"/>
    <w:rsid w:val="009A4158"/>
    <w:rsid w:val="009A43FD"/>
    <w:rsid w:val="009A51E6"/>
    <w:rsid w:val="009A5A0C"/>
    <w:rsid w:val="009A66A8"/>
    <w:rsid w:val="009B0C70"/>
    <w:rsid w:val="009B0F09"/>
    <w:rsid w:val="009B2E90"/>
    <w:rsid w:val="009B3AFD"/>
    <w:rsid w:val="009B439A"/>
    <w:rsid w:val="009B4A4C"/>
    <w:rsid w:val="009B4B0C"/>
    <w:rsid w:val="009B55E6"/>
    <w:rsid w:val="009B5FC0"/>
    <w:rsid w:val="009B6AB2"/>
    <w:rsid w:val="009B71F7"/>
    <w:rsid w:val="009C0A87"/>
    <w:rsid w:val="009C264E"/>
    <w:rsid w:val="009C4B7B"/>
    <w:rsid w:val="009C5274"/>
    <w:rsid w:val="009C5484"/>
    <w:rsid w:val="009C564D"/>
    <w:rsid w:val="009C5EDA"/>
    <w:rsid w:val="009C6589"/>
    <w:rsid w:val="009C6776"/>
    <w:rsid w:val="009C7286"/>
    <w:rsid w:val="009C7A8E"/>
    <w:rsid w:val="009C7CCD"/>
    <w:rsid w:val="009D0231"/>
    <w:rsid w:val="009D082F"/>
    <w:rsid w:val="009D1A2F"/>
    <w:rsid w:val="009D27EF"/>
    <w:rsid w:val="009D285D"/>
    <w:rsid w:val="009D31A8"/>
    <w:rsid w:val="009D3F41"/>
    <w:rsid w:val="009D5401"/>
    <w:rsid w:val="009D6470"/>
    <w:rsid w:val="009D778F"/>
    <w:rsid w:val="009D7A42"/>
    <w:rsid w:val="009E0AE0"/>
    <w:rsid w:val="009E0C5E"/>
    <w:rsid w:val="009E2841"/>
    <w:rsid w:val="009E29C2"/>
    <w:rsid w:val="009E2D91"/>
    <w:rsid w:val="009E3D07"/>
    <w:rsid w:val="009E455B"/>
    <w:rsid w:val="009E513F"/>
    <w:rsid w:val="009E79BF"/>
    <w:rsid w:val="009F0467"/>
    <w:rsid w:val="009F0C39"/>
    <w:rsid w:val="009F0D35"/>
    <w:rsid w:val="009F48DC"/>
    <w:rsid w:val="009F4CD8"/>
    <w:rsid w:val="009F4DBB"/>
    <w:rsid w:val="009F4E27"/>
    <w:rsid w:val="009F4F36"/>
    <w:rsid w:val="009F5491"/>
    <w:rsid w:val="009F5564"/>
    <w:rsid w:val="009F6112"/>
    <w:rsid w:val="009F6BC7"/>
    <w:rsid w:val="009F7F3B"/>
    <w:rsid w:val="00A002A7"/>
    <w:rsid w:val="00A00585"/>
    <w:rsid w:val="00A008D0"/>
    <w:rsid w:val="00A00C82"/>
    <w:rsid w:val="00A00CA2"/>
    <w:rsid w:val="00A0287D"/>
    <w:rsid w:val="00A02930"/>
    <w:rsid w:val="00A03469"/>
    <w:rsid w:val="00A040DD"/>
    <w:rsid w:val="00A04C2B"/>
    <w:rsid w:val="00A05839"/>
    <w:rsid w:val="00A10D37"/>
    <w:rsid w:val="00A1162B"/>
    <w:rsid w:val="00A11BAC"/>
    <w:rsid w:val="00A1294C"/>
    <w:rsid w:val="00A13407"/>
    <w:rsid w:val="00A13FB5"/>
    <w:rsid w:val="00A1526D"/>
    <w:rsid w:val="00A15414"/>
    <w:rsid w:val="00A16DA7"/>
    <w:rsid w:val="00A16EC0"/>
    <w:rsid w:val="00A16F30"/>
    <w:rsid w:val="00A21EC3"/>
    <w:rsid w:val="00A22520"/>
    <w:rsid w:val="00A22FD2"/>
    <w:rsid w:val="00A230C2"/>
    <w:rsid w:val="00A23565"/>
    <w:rsid w:val="00A23C4A"/>
    <w:rsid w:val="00A23E43"/>
    <w:rsid w:val="00A25096"/>
    <w:rsid w:val="00A258FA"/>
    <w:rsid w:val="00A26F5F"/>
    <w:rsid w:val="00A27743"/>
    <w:rsid w:val="00A27BE5"/>
    <w:rsid w:val="00A30208"/>
    <w:rsid w:val="00A311F8"/>
    <w:rsid w:val="00A313C5"/>
    <w:rsid w:val="00A314D9"/>
    <w:rsid w:val="00A31717"/>
    <w:rsid w:val="00A31E8C"/>
    <w:rsid w:val="00A322D9"/>
    <w:rsid w:val="00A32C8E"/>
    <w:rsid w:val="00A32DC0"/>
    <w:rsid w:val="00A334A3"/>
    <w:rsid w:val="00A34503"/>
    <w:rsid w:val="00A3451D"/>
    <w:rsid w:val="00A3544C"/>
    <w:rsid w:val="00A3610C"/>
    <w:rsid w:val="00A36A3E"/>
    <w:rsid w:val="00A37544"/>
    <w:rsid w:val="00A37B5F"/>
    <w:rsid w:val="00A41FFF"/>
    <w:rsid w:val="00A42E0C"/>
    <w:rsid w:val="00A43357"/>
    <w:rsid w:val="00A43627"/>
    <w:rsid w:val="00A44B76"/>
    <w:rsid w:val="00A45A7C"/>
    <w:rsid w:val="00A45EB4"/>
    <w:rsid w:val="00A460D4"/>
    <w:rsid w:val="00A46972"/>
    <w:rsid w:val="00A50CB6"/>
    <w:rsid w:val="00A50F86"/>
    <w:rsid w:val="00A52CE5"/>
    <w:rsid w:val="00A55416"/>
    <w:rsid w:val="00A5590A"/>
    <w:rsid w:val="00A56583"/>
    <w:rsid w:val="00A56A4A"/>
    <w:rsid w:val="00A604FB"/>
    <w:rsid w:val="00A605D0"/>
    <w:rsid w:val="00A61C1C"/>
    <w:rsid w:val="00A621B4"/>
    <w:rsid w:val="00A63669"/>
    <w:rsid w:val="00A64842"/>
    <w:rsid w:val="00A66BD8"/>
    <w:rsid w:val="00A67427"/>
    <w:rsid w:val="00A67865"/>
    <w:rsid w:val="00A67A78"/>
    <w:rsid w:val="00A7032F"/>
    <w:rsid w:val="00A71C97"/>
    <w:rsid w:val="00A723B2"/>
    <w:rsid w:val="00A7304F"/>
    <w:rsid w:val="00A7329F"/>
    <w:rsid w:val="00A73F46"/>
    <w:rsid w:val="00A73F82"/>
    <w:rsid w:val="00A7410E"/>
    <w:rsid w:val="00A75030"/>
    <w:rsid w:val="00A7732D"/>
    <w:rsid w:val="00A779F6"/>
    <w:rsid w:val="00A80261"/>
    <w:rsid w:val="00A802B4"/>
    <w:rsid w:val="00A81695"/>
    <w:rsid w:val="00A817DD"/>
    <w:rsid w:val="00A81EBC"/>
    <w:rsid w:val="00A81EE7"/>
    <w:rsid w:val="00A82387"/>
    <w:rsid w:val="00A831BA"/>
    <w:rsid w:val="00A84A93"/>
    <w:rsid w:val="00A84B5E"/>
    <w:rsid w:val="00A84F13"/>
    <w:rsid w:val="00A8516E"/>
    <w:rsid w:val="00A85390"/>
    <w:rsid w:val="00A85B20"/>
    <w:rsid w:val="00A8628C"/>
    <w:rsid w:val="00A868DB"/>
    <w:rsid w:val="00A87204"/>
    <w:rsid w:val="00A87E01"/>
    <w:rsid w:val="00A90377"/>
    <w:rsid w:val="00A9051A"/>
    <w:rsid w:val="00A90A20"/>
    <w:rsid w:val="00A90F66"/>
    <w:rsid w:val="00A91DAC"/>
    <w:rsid w:val="00A91DFB"/>
    <w:rsid w:val="00A927AD"/>
    <w:rsid w:val="00A93781"/>
    <w:rsid w:val="00A96785"/>
    <w:rsid w:val="00A96FBC"/>
    <w:rsid w:val="00A96FBD"/>
    <w:rsid w:val="00A97345"/>
    <w:rsid w:val="00A97B82"/>
    <w:rsid w:val="00A97C34"/>
    <w:rsid w:val="00AA0104"/>
    <w:rsid w:val="00AA06FF"/>
    <w:rsid w:val="00AA0B72"/>
    <w:rsid w:val="00AA0D36"/>
    <w:rsid w:val="00AA29D1"/>
    <w:rsid w:val="00AA31D3"/>
    <w:rsid w:val="00AA473E"/>
    <w:rsid w:val="00AA74D5"/>
    <w:rsid w:val="00AA785B"/>
    <w:rsid w:val="00AA79F7"/>
    <w:rsid w:val="00AA7C26"/>
    <w:rsid w:val="00AB0095"/>
    <w:rsid w:val="00AB1BD1"/>
    <w:rsid w:val="00AB3891"/>
    <w:rsid w:val="00AB4D87"/>
    <w:rsid w:val="00AB5AC9"/>
    <w:rsid w:val="00AB6506"/>
    <w:rsid w:val="00AC1EB1"/>
    <w:rsid w:val="00AC23B6"/>
    <w:rsid w:val="00AC3830"/>
    <w:rsid w:val="00AC3B10"/>
    <w:rsid w:val="00AC3C2D"/>
    <w:rsid w:val="00AC4189"/>
    <w:rsid w:val="00AC4301"/>
    <w:rsid w:val="00AC440E"/>
    <w:rsid w:val="00AC45CE"/>
    <w:rsid w:val="00AC45F8"/>
    <w:rsid w:val="00AC4AFC"/>
    <w:rsid w:val="00AC52DF"/>
    <w:rsid w:val="00AC5F45"/>
    <w:rsid w:val="00AC61BB"/>
    <w:rsid w:val="00AC6434"/>
    <w:rsid w:val="00AC6D44"/>
    <w:rsid w:val="00AD0B7F"/>
    <w:rsid w:val="00AD2A8D"/>
    <w:rsid w:val="00AD2E30"/>
    <w:rsid w:val="00AD396A"/>
    <w:rsid w:val="00AD51AB"/>
    <w:rsid w:val="00AD594A"/>
    <w:rsid w:val="00AD6558"/>
    <w:rsid w:val="00AD65D8"/>
    <w:rsid w:val="00AD6794"/>
    <w:rsid w:val="00AD7C1F"/>
    <w:rsid w:val="00AE17B1"/>
    <w:rsid w:val="00AE2D38"/>
    <w:rsid w:val="00AE3629"/>
    <w:rsid w:val="00AE3906"/>
    <w:rsid w:val="00AE5D31"/>
    <w:rsid w:val="00AE6999"/>
    <w:rsid w:val="00AE6C50"/>
    <w:rsid w:val="00AE7390"/>
    <w:rsid w:val="00AE7FCB"/>
    <w:rsid w:val="00AF147A"/>
    <w:rsid w:val="00AF180D"/>
    <w:rsid w:val="00AF19E6"/>
    <w:rsid w:val="00AF2BB4"/>
    <w:rsid w:val="00AF42FD"/>
    <w:rsid w:val="00AF4476"/>
    <w:rsid w:val="00AF452E"/>
    <w:rsid w:val="00AF4A7B"/>
    <w:rsid w:val="00AF52CC"/>
    <w:rsid w:val="00AF70B2"/>
    <w:rsid w:val="00B01540"/>
    <w:rsid w:val="00B01BA0"/>
    <w:rsid w:val="00B0244A"/>
    <w:rsid w:val="00B02BAA"/>
    <w:rsid w:val="00B03626"/>
    <w:rsid w:val="00B03697"/>
    <w:rsid w:val="00B03D4E"/>
    <w:rsid w:val="00B04205"/>
    <w:rsid w:val="00B044DD"/>
    <w:rsid w:val="00B0477A"/>
    <w:rsid w:val="00B050CC"/>
    <w:rsid w:val="00B05399"/>
    <w:rsid w:val="00B05B5B"/>
    <w:rsid w:val="00B061CD"/>
    <w:rsid w:val="00B06476"/>
    <w:rsid w:val="00B06654"/>
    <w:rsid w:val="00B072FC"/>
    <w:rsid w:val="00B0787F"/>
    <w:rsid w:val="00B14C07"/>
    <w:rsid w:val="00B14DB0"/>
    <w:rsid w:val="00B15390"/>
    <w:rsid w:val="00B1769A"/>
    <w:rsid w:val="00B17A80"/>
    <w:rsid w:val="00B17FFC"/>
    <w:rsid w:val="00B20B82"/>
    <w:rsid w:val="00B21A56"/>
    <w:rsid w:val="00B21CFE"/>
    <w:rsid w:val="00B21ECA"/>
    <w:rsid w:val="00B21F74"/>
    <w:rsid w:val="00B22120"/>
    <w:rsid w:val="00B226C0"/>
    <w:rsid w:val="00B22EC8"/>
    <w:rsid w:val="00B24FCD"/>
    <w:rsid w:val="00B25990"/>
    <w:rsid w:val="00B25A03"/>
    <w:rsid w:val="00B26584"/>
    <w:rsid w:val="00B26B86"/>
    <w:rsid w:val="00B27722"/>
    <w:rsid w:val="00B27A59"/>
    <w:rsid w:val="00B30154"/>
    <w:rsid w:val="00B302D1"/>
    <w:rsid w:val="00B30523"/>
    <w:rsid w:val="00B306E5"/>
    <w:rsid w:val="00B3075E"/>
    <w:rsid w:val="00B31527"/>
    <w:rsid w:val="00B32E8F"/>
    <w:rsid w:val="00B35670"/>
    <w:rsid w:val="00B36010"/>
    <w:rsid w:val="00B3709C"/>
    <w:rsid w:val="00B3779D"/>
    <w:rsid w:val="00B402CA"/>
    <w:rsid w:val="00B40362"/>
    <w:rsid w:val="00B4047A"/>
    <w:rsid w:val="00B40C40"/>
    <w:rsid w:val="00B441E4"/>
    <w:rsid w:val="00B457D2"/>
    <w:rsid w:val="00B46C51"/>
    <w:rsid w:val="00B51855"/>
    <w:rsid w:val="00B519A3"/>
    <w:rsid w:val="00B525BC"/>
    <w:rsid w:val="00B529DA"/>
    <w:rsid w:val="00B52A2E"/>
    <w:rsid w:val="00B5333B"/>
    <w:rsid w:val="00B548E2"/>
    <w:rsid w:val="00B55E7D"/>
    <w:rsid w:val="00B56141"/>
    <w:rsid w:val="00B56BCF"/>
    <w:rsid w:val="00B56E21"/>
    <w:rsid w:val="00B574B0"/>
    <w:rsid w:val="00B57D85"/>
    <w:rsid w:val="00B6058D"/>
    <w:rsid w:val="00B621A7"/>
    <w:rsid w:val="00B62E7C"/>
    <w:rsid w:val="00B632BB"/>
    <w:rsid w:val="00B64078"/>
    <w:rsid w:val="00B64B1D"/>
    <w:rsid w:val="00B65F4D"/>
    <w:rsid w:val="00B7029A"/>
    <w:rsid w:val="00B70DB6"/>
    <w:rsid w:val="00B71435"/>
    <w:rsid w:val="00B71547"/>
    <w:rsid w:val="00B71606"/>
    <w:rsid w:val="00B73179"/>
    <w:rsid w:val="00B73333"/>
    <w:rsid w:val="00B73A44"/>
    <w:rsid w:val="00B73AD1"/>
    <w:rsid w:val="00B74C10"/>
    <w:rsid w:val="00B74D60"/>
    <w:rsid w:val="00B7516A"/>
    <w:rsid w:val="00B75619"/>
    <w:rsid w:val="00B763B1"/>
    <w:rsid w:val="00B766ED"/>
    <w:rsid w:val="00B76F9A"/>
    <w:rsid w:val="00B7726C"/>
    <w:rsid w:val="00B77272"/>
    <w:rsid w:val="00B77C81"/>
    <w:rsid w:val="00B8080D"/>
    <w:rsid w:val="00B8126D"/>
    <w:rsid w:val="00B81F07"/>
    <w:rsid w:val="00B82324"/>
    <w:rsid w:val="00B82D9D"/>
    <w:rsid w:val="00B836F4"/>
    <w:rsid w:val="00B83886"/>
    <w:rsid w:val="00B849CE"/>
    <w:rsid w:val="00B84B41"/>
    <w:rsid w:val="00B853F1"/>
    <w:rsid w:val="00B861F7"/>
    <w:rsid w:val="00B8664F"/>
    <w:rsid w:val="00B87A94"/>
    <w:rsid w:val="00B87EB2"/>
    <w:rsid w:val="00B91652"/>
    <w:rsid w:val="00B91A42"/>
    <w:rsid w:val="00B96C60"/>
    <w:rsid w:val="00B96D3F"/>
    <w:rsid w:val="00B97184"/>
    <w:rsid w:val="00B9758D"/>
    <w:rsid w:val="00BA1224"/>
    <w:rsid w:val="00BA1E7F"/>
    <w:rsid w:val="00BA20CB"/>
    <w:rsid w:val="00BA32CB"/>
    <w:rsid w:val="00BA35AB"/>
    <w:rsid w:val="00BA4664"/>
    <w:rsid w:val="00BA4E14"/>
    <w:rsid w:val="00BA523B"/>
    <w:rsid w:val="00BA5345"/>
    <w:rsid w:val="00BA5DE4"/>
    <w:rsid w:val="00BA6468"/>
    <w:rsid w:val="00BA685E"/>
    <w:rsid w:val="00BA6B19"/>
    <w:rsid w:val="00BA6EFB"/>
    <w:rsid w:val="00BA738F"/>
    <w:rsid w:val="00BA7915"/>
    <w:rsid w:val="00BB0654"/>
    <w:rsid w:val="00BB0917"/>
    <w:rsid w:val="00BB122B"/>
    <w:rsid w:val="00BB1321"/>
    <w:rsid w:val="00BB1A48"/>
    <w:rsid w:val="00BB22E1"/>
    <w:rsid w:val="00BB29CA"/>
    <w:rsid w:val="00BB3D18"/>
    <w:rsid w:val="00BB579F"/>
    <w:rsid w:val="00BB57FF"/>
    <w:rsid w:val="00BB665C"/>
    <w:rsid w:val="00BB7211"/>
    <w:rsid w:val="00BB7B1E"/>
    <w:rsid w:val="00BC0F4B"/>
    <w:rsid w:val="00BC147E"/>
    <w:rsid w:val="00BC2C78"/>
    <w:rsid w:val="00BC485D"/>
    <w:rsid w:val="00BC4B99"/>
    <w:rsid w:val="00BC622C"/>
    <w:rsid w:val="00BC69C7"/>
    <w:rsid w:val="00BC7146"/>
    <w:rsid w:val="00BD034D"/>
    <w:rsid w:val="00BD04C9"/>
    <w:rsid w:val="00BD1427"/>
    <w:rsid w:val="00BD168B"/>
    <w:rsid w:val="00BD2C41"/>
    <w:rsid w:val="00BD35BA"/>
    <w:rsid w:val="00BD4928"/>
    <w:rsid w:val="00BD662A"/>
    <w:rsid w:val="00BD7CBF"/>
    <w:rsid w:val="00BE000A"/>
    <w:rsid w:val="00BE02E7"/>
    <w:rsid w:val="00BE30E7"/>
    <w:rsid w:val="00BE4798"/>
    <w:rsid w:val="00BE5503"/>
    <w:rsid w:val="00BE619D"/>
    <w:rsid w:val="00BE7350"/>
    <w:rsid w:val="00BE7870"/>
    <w:rsid w:val="00BF02E2"/>
    <w:rsid w:val="00BF042D"/>
    <w:rsid w:val="00BF299F"/>
    <w:rsid w:val="00BF2BAE"/>
    <w:rsid w:val="00BF2C5F"/>
    <w:rsid w:val="00BF333A"/>
    <w:rsid w:val="00BF450F"/>
    <w:rsid w:val="00BF47BD"/>
    <w:rsid w:val="00BF6061"/>
    <w:rsid w:val="00BF7457"/>
    <w:rsid w:val="00BF7621"/>
    <w:rsid w:val="00BF7B90"/>
    <w:rsid w:val="00C01E74"/>
    <w:rsid w:val="00C02083"/>
    <w:rsid w:val="00C02747"/>
    <w:rsid w:val="00C0303E"/>
    <w:rsid w:val="00C0392B"/>
    <w:rsid w:val="00C0581E"/>
    <w:rsid w:val="00C05DFE"/>
    <w:rsid w:val="00C07425"/>
    <w:rsid w:val="00C07A80"/>
    <w:rsid w:val="00C10A2D"/>
    <w:rsid w:val="00C121DA"/>
    <w:rsid w:val="00C1229F"/>
    <w:rsid w:val="00C130B3"/>
    <w:rsid w:val="00C158B6"/>
    <w:rsid w:val="00C17743"/>
    <w:rsid w:val="00C17DE0"/>
    <w:rsid w:val="00C17F71"/>
    <w:rsid w:val="00C2153E"/>
    <w:rsid w:val="00C21873"/>
    <w:rsid w:val="00C22B9A"/>
    <w:rsid w:val="00C22D87"/>
    <w:rsid w:val="00C23086"/>
    <w:rsid w:val="00C23B7C"/>
    <w:rsid w:val="00C24BBF"/>
    <w:rsid w:val="00C263FC"/>
    <w:rsid w:val="00C26755"/>
    <w:rsid w:val="00C273B7"/>
    <w:rsid w:val="00C2795E"/>
    <w:rsid w:val="00C31AC8"/>
    <w:rsid w:val="00C31DD3"/>
    <w:rsid w:val="00C32AB7"/>
    <w:rsid w:val="00C32EE1"/>
    <w:rsid w:val="00C33032"/>
    <w:rsid w:val="00C3356B"/>
    <w:rsid w:val="00C3504E"/>
    <w:rsid w:val="00C373D8"/>
    <w:rsid w:val="00C37713"/>
    <w:rsid w:val="00C37A8A"/>
    <w:rsid w:val="00C40A8A"/>
    <w:rsid w:val="00C41550"/>
    <w:rsid w:val="00C41B41"/>
    <w:rsid w:val="00C43BBC"/>
    <w:rsid w:val="00C43F97"/>
    <w:rsid w:val="00C4426C"/>
    <w:rsid w:val="00C45654"/>
    <w:rsid w:val="00C456B6"/>
    <w:rsid w:val="00C46A42"/>
    <w:rsid w:val="00C46A88"/>
    <w:rsid w:val="00C46BDB"/>
    <w:rsid w:val="00C4789C"/>
    <w:rsid w:val="00C50537"/>
    <w:rsid w:val="00C50EC2"/>
    <w:rsid w:val="00C51AD5"/>
    <w:rsid w:val="00C5355C"/>
    <w:rsid w:val="00C53C8C"/>
    <w:rsid w:val="00C55523"/>
    <w:rsid w:val="00C55D17"/>
    <w:rsid w:val="00C56785"/>
    <w:rsid w:val="00C569F5"/>
    <w:rsid w:val="00C56A6F"/>
    <w:rsid w:val="00C57DD5"/>
    <w:rsid w:val="00C601E4"/>
    <w:rsid w:val="00C610BA"/>
    <w:rsid w:val="00C619BF"/>
    <w:rsid w:val="00C621EF"/>
    <w:rsid w:val="00C62451"/>
    <w:rsid w:val="00C62F2E"/>
    <w:rsid w:val="00C6381C"/>
    <w:rsid w:val="00C63B37"/>
    <w:rsid w:val="00C64765"/>
    <w:rsid w:val="00C6502B"/>
    <w:rsid w:val="00C651E9"/>
    <w:rsid w:val="00C65440"/>
    <w:rsid w:val="00C65A00"/>
    <w:rsid w:val="00C65F73"/>
    <w:rsid w:val="00C66F67"/>
    <w:rsid w:val="00C70568"/>
    <w:rsid w:val="00C70695"/>
    <w:rsid w:val="00C70B6F"/>
    <w:rsid w:val="00C70D28"/>
    <w:rsid w:val="00C71462"/>
    <w:rsid w:val="00C7152F"/>
    <w:rsid w:val="00C71AA8"/>
    <w:rsid w:val="00C72145"/>
    <w:rsid w:val="00C72283"/>
    <w:rsid w:val="00C72E76"/>
    <w:rsid w:val="00C735E1"/>
    <w:rsid w:val="00C736CC"/>
    <w:rsid w:val="00C73743"/>
    <w:rsid w:val="00C73C9E"/>
    <w:rsid w:val="00C741B1"/>
    <w:rsid w:val="00C75D32"/>
    <w:rsid w:val="00C76523"/>
    <w:rsid w:val="00C80335"/>
    <w:rsid w:val="00C81815"/>
    <w:rsid w:val="00C827D9"/>
    <w:rsid w:val="00C828E4"/>
    <w:rsid w:val="00C8492A"/>
    <w:rsid w:val="00C84946"/>
    <w:rsid w:val="00C85695"/>
    <w:rsid w:val="00C858FC"/>
    <w:rsid w:val="00C8597E"/>
    <w:rsid w:val="00C85C9B"/>
    <w:rsid w:val="00C86644"/>
    <w:rsid w:val="00C87CB6"/>
    <w:rsid w:val="00C87DAF"/>
    <w:rsid w:val="00C87F70"/>
    <w:rsid w:val="00C91663"/>
    <w:rsid w:val="00C91F73"/>
    <w:rsid w:val="00C93446"/>
    <w:rsid w:val="00C940D3"/>
    <w:rsid w:val="00C9491F"/>
    <w:rsid w:val="00C95692"/>
    <w:rsid w:val="00C95EB2"/>
    <w:rsid w:val="00CA075D"/>
    <w:rsid w:val="00CA1C45"/>
    <w:rsid w:val="00CA2E61"/>
    <w:rsid w:val="00CA4CBB"/>
    <w:rsid w:val="00CA4CCF"/>
    <w:rsid w:val="00CA4ECB"/>
    <w:rsid w:val="00CA4F49"/>
    <w:rsid w:val="00CA549D"/>
    <w:rsid w:val="00CA54DD"/>
    <w:rsid w:val="00CA606A"/>
    <w:rsid w:val="00CA61E3"/>
    <w:rsid w:val="00CA6B2C"/>
    <w:rsid w:val="00CA764B"/>
    <w:rsid w:val="00CA7FE1"/>
    <w:rsid w:val="00CB0775"/>
    <w:rsid w:val="00CB07F5"/>
    <w:rsid w:val="00CB1CA0"/>
    <w:rsid w:val="00CB2FC5"/>
    <w:rsid w:val="00CB30AE"/>
    <w:rsid w:val="00CB3311"/>
    <w:rsid w:val="00CB3517"/>
    <w:rsid w:val="00CB4056"/>
    <w:rsid w:val="00CB4FC0"/>
    <w:rsid w:val="00CB5E3B"/>
    <w:rsid w:val="00CB6242"/>
    <w:rsid w:val="00CB63D0"/>
    <w:rsid w:val="00CB7149"/>
    <w:rsid w:val="00CB730B"/>
    <w:rsid w:val="00CB7F5A"/>
    <w:rsid w:val="00CC19DD"/>
    <w:rsid w:val="00CC2175"/>
    <w:rsid w:val="00CC21BB"/>
    <w:rsid w:val="00CC3589"/>
    <w:rsid w:val="00CC35E5"/>
    <w:rsid w:val="00CC3729"/>
    <w:rsid w:val="00CC4ECD"/>
    <w:rsid w:val="00CC50CC"/>
    <w:rsid w:val="00CC68AE"/>
    <w:rsid w:val="00CC6D04"/>
    <w:rsid w:val="00CC6F36"/>
    <w:rsid w:val="00CC6FB7"/>
    <w:rsid w:val="00CC7170"/>
    <w:rsid w:val="00CD0720"/>
    <w:rsid w:val="00CD1EE5"/>
    <w:rsid w:val="00CD2B35"/>
    <w:rsid w:val="00CD2C7A"/>
    <w:rsid w:val="00CD4783"/>
    <w:rsid w:val="00CD4FBC"/>
    <w:rsid w:val="00CD53A7"/>
    <w:rsid w:val="00CD55F7"/>
    <w:rsid w:val="00CD6406"/>
    <w:rsid w:val="00CD6F84"/>
    <w:rsid w:val="00CD70F3"/>
    <w:rsid w:val="00CD7D58"/>
    <w:rsid w:val="00CE0AAA"/>
    <w:rsid w:val="00CE1EB2"/>
    <w:rsid w:val="00CE2C8D"/>
    <w:rsid w:val="00CE3318"/>
    <w:rsid w:val="00CE3C3C"/>
    <w:rsid w:val="00CE3C7C"/>
    <w:rsid w:val="00CE40DB"/>
    <w:rsid w:val="00CE4B3F"/>
    <w:rsid w:val="00CE511C"/>
    <w:rsid w:val="00CE56BE"/>
    <w:rsid w:val="00CE5EC9"/>
    <w:rsid w:val="00CE62FC"/>
    <w:rsid w:val="00CE6941"/>
    <w:rsid w:val="00CE7AAE"/>
    <w:rsid w:val="00CF0BD2"/>
    <w:rsid w:val="00CF118A"/>
    <w:rsid w:val="00CF186E"/>
    <w:rsid w:val="00CF1F86"/>
    <w:rsid w:val="00CF299B"/>
    <w:rsid w:val="00CF30D6"/>
    <w:rsid w:val="00CF355A"/>
    <w:rsid w:val="00CF5FC0"/>
    <w:rsid w:val="00CF6AD3"/>
    <w:rsid w:val="00CF6B48"/>
    <w:rsid w:val="00CF6DC6"/>
    <w:rsid w:val="00D0336A"/>
    <w:rsid w:val="00D043EF"/>
    <w:rsid w:val="00D04AD3"/>
    <w:rsid w:val="00D04D4A"/>
    <w:rsid w:val="00D04F4B"/>
    <w:rsid w:val="00D0588A"/>
    <w:rsid w:val="00D067B1"/>
    <w:rsid w:val="00D0703B"/>
    <w:rsid w:val="00D07D46"/>
    <w:rsid w:val="00D1075D"/>
    <w:rsid w:val="00D10A60"/>
    <w:rsid w:val="00D10CDB"/>
    <w:rsid w:val="00D111F6"/>
    <w:rsid w:val="00D117F1"/>
    <w:rsid w:val="00D13A63"/>
    <w:rsid w:val="00D14205"/>
    <w:rsid w:val="00D15BD0"/>
    <w:rsid w:val="00D17276"/>
    <w:rsid w:val="00D175A5"/>
    <w:rsid w:val="00D17A7B"/>
    <w:rsid w:val="00D17E41"/>
    <w:rsid w:val="00D17FEA"/>
    <w:rsid w:val="00D24D5B"/>
    <w:rsid w:val="00D25191"/>
    <w:rsid w:val="00D252B3"/>
    <w:rsid w:val="00D275D3"/>
    <w:rsid w:val="00D27998"/>
    <w:rsid w:val="00D27E62"/>
    <w:rsid w:val="00D30F7C"/>
    <w:rsid w:val="00D319A2"/>
    <w:rsid w:val="00D32141"/>
    <w:rsid w:val="00D326F0"/>
    <w:rsid w:val="00D339FE"/>
    <w:rsid w:val="00D33B22"/>
    <w:rsid w:val="00D348C9"/>
    <w:rsid w:val="00D36056"/>
    <w:rsid w:val="00D360B5"/>
    <w:rsid w:val="00D3687B"/>
    <w:rsid w:val="00D3720A"/>
    <w:rsid w:val="00D3747D"/>
    <w:rsid w:val="00D377A0"/>
    <w:rsid w:val="00D4053A"/>
    <w:rsid w:val="00D40EBD"/>
    <w:rsid w:val="00D40F73"/>
    <w:rsid w:val="00D413D3"/>
    <w:rsid w:val="00D41529"/>
    <w:rsid w:val="00D42194"/>
    <w:rsid w:val="00D4272C"/>
    <w:rsid w:val="00D429B4"/>
    <w:rsid w:val="00D429C8"/>
    <w:rsid w:val="00D42EA6"/>
    <w:rsid w:val="00D42FB0"/>
    <w:rsid w:val="00D44605"/>
    <w:rsid w:val="00D454E1"/>
    <w:rsid w:val="00D45DA7"/>
    <w:rsid w:val="00D45E9E"/>
    <w:rsid w:val="00D461FB"/>
    <w:rsid w:val="00D46648"/>
    <w:rsid w:val="00D50290"/>
    <w:rsid w:val="00D50335"/>
    <w:rsid w:val="00D515FC"/>
    <w:rsid w:val="00D5254B"/>
    <w:rsid w:val="00D53900"/>
    <w:rsid w:val="00D53B66"/>
    <w:rsid w:val="00D54468"/>
    <w:rsid w:val="00D547D2"/>
    <w:rsid w:val="00D55B24"/>
    <w:rsid w:val="00D56F24"/>
    <w:rsid w:val="00D574E4"/>
    <w:rsid w:val="00D60681"/>
    <w:rsid w:val="00D60D2B"/>
    <w:rsid w:val="00D61BA4"/>
    <w:rsid w:val="00D63DD6"/>
    <w:rsid w:val="00D6515E"/>
    <w:rsid w:val="00D66D24"/>
    <w:rsid w:val="00D67948"/>
    <w:rsid w:val="00D67C8F"/>
    <w:rsid w:val="00D706C2"/>
    <w:rsid w:val="00D71119"/>
    <w:rsid w:val="00D711AB"/>
    <w:rsid w:val="00D7201B"/>
    <w:rsid w:val="00D72258"/>
    <w:rsid w:val="00D725E6"/>
    <w:rsid w:val="00D73836"/>
    <w:rsid w:val="00D73951"/>
    <w:rsid w:val="00D73C3D"/>
    <w:rsid w:val="00D74E88"/>
    <w:rsid w:val="00D765B6"/>
    <w:rsid w:val="00D801CC"/>
    <w:rsid w:val="00D8021D"/>
    <w:rsid w:val="00D8057B"/>
    <w:rsid w:val="00D80C96"/>
    <w:rsid w:val="00D81888"/>
    <w:rsid w:val="00D82302"/>
    <w:rsid w:val="00D82E73"/>
    <w:rsid w:val="00D83435"/>
    <w:rsid w:val="00D847A0"/>
    <w:rsid w:val="00D8590E"/>
    <w:rsid w:val="00D86293"/>
    <w:rsid w:val="00D87155"/>
    <w:rsid w:val="00D87CCB"/>
    <w:rsid w:val="00D902FA"/>
    <w:rsid w:val="00D91104"/>
    <w:rsid w:val="00D91B06"/>
    <w:rsid w:val="00D972F5"/>
    <w:rsid w:val="00D9757A"/>
    <w:rsid w:val="00DA13F5"/>
    <w:rsid w:val="00DA1A62"/>
    <w:rsid w:val="00DA1F4B"/>
    <w:rsid w:val="00DA312D"/>
    <w:rsid w:val="00DA3F05"/>
    <w:rsid w:val="00DA3FEA"/>
    <w:rsid w:val="00DA569F"/>
    <w:rsid w:val="00DA584E"/>
    <w:rsid w:val="00DA5BC7"/>
    <w:rsid w:val="00DA681F"/>
    <w:rsid w:val="00DA7841"/>
    <w:rsid w:val="00DA7857"/>
    <w:rsid w:val="00DB0887"/>
    <w:rsid w:val="00DB11F1"/>
    <w:rsid w:val="00DB2707"/>
    <w:rsid w:val="00DB291D"/>
    <w:rsid w:val="00DB43AA"/>
    <w:rsid w:val="00DB450C"/>
    <w:rsid w:val="00DB4CB1"/>
    <w:rsid w:val="00DB50E6"/>
    <w:rsid w:val="00DB5D7A"/>
    <w:rsid w:val="00DB6DB6"/>
    <w:rsid w:val="00DB79EF"/>
    <w:rsid w:val="00DC0C06"/>
    <w:rsid w:val="00DC170C"/>
    <w:rsid w:val="00DC2FFA"/>
    <w:rsid w:val="00DC59B0"/>
    <w:rsid w:val="00DC6572"/>
    <w:rsid w:val="00DC6E20"/>
    <w:rsid w:val="00DC7729"/>
    <w:rsid w:val="00DC7E7E"/>
    <w:rsid w:val="00DC7F71"/>
    <w:rsid w:val="00DC7FD2"/>
    <w:rsid w:val="00DD06FA"/>
    <w:rsid w:val="00DD0905"/>
    <w:rsid w:val="00DD25C0"/>
    <w:rsid w:val="00DD2632"/>
    <w:rsid w:val="00DD2EFD"/>
    <w:rsid w:val="00DD357C"/>
    <w:rsid w:val="00DD3FCD"/>
    <w:rsid w:val="00DD4470"/>
    <w:rsid w:val="00DD4894"/>
    <w:rsid w:val="00DD745C"/>
    <w:rsid w:val="00DD76D6"/>
    <w:rsid w:val="00DD78C5"/>
    <w:rsid w:val="00DD7C9A"/>
    <w:rsid w:val="00DD7E1B"/>
    <w:rsid w:val="00DE0E00"/>
    <w:rsid w:val="00DE276F"/>
    <w:rsid w:val="00DE30F6"/>
    <w:rsid w:val="00DE38C2"/>
    <w:rsid w:val="00DE58D9"/>
    <w:rsid w:val="00DE6071"/>
    <w:rsid w:val="00DE6526"/>
    <w:rsid w:val="00DE6FAD"/>
    <w:rsid w:val="00DF038A"/>
    <w:rsid w:val="00DF0CE6"/>
    <w:rsid w:val="00DF0FB0"/>
    <w:rsid w:val="00DF1530"/>
    <w:rsid w:val="00DF17BF"/>
    <w:rsid w:val="00DF2D63"/>
    <w:rsid w:val="00DF2E1E"/>
    <w:rsid w:val="00DF48B6"/>
    <w:rsid w:val="00DF4BA4"/>
    <w:rsid w:val="00DF4EC4"/>
    <w:rsid w:val="00DF5407"/>
    <w:rsid w:val="00DF558A"/>
    <w:rsid w:val="00DF5A75"/>
    <w:rsid w:val="00DF6168"/>
    <w:rsid w:val="00DF7EF1"/>
    <w:rsid w:val="00E00B9F"/>
    <w:rsid w:val="00E0180C"/>
    <w:rsid w:val="00E023F2"/>
    <w:rsid w:val="00E02D17"/>
    <w:rsid w:val="00E035EB"/>
    <w:rsid w:val="00E03A9F"/>
    <w:rsid w:val="00E04A0B"/>
    <w:rsid w:val="00E052B2"/>
    <w:rsid w:val="00E057E4"/>
    <w:rsid w:val="00E05F36"/>
    <w:rsid w:val="00E06274"/>
    <w:rsid w:val="00E062F1"/>
    <w:rsid w:val="00E06E01"/>
    <w:rsid w:val="00E070F5"/>
    <w:rsid w:val="00E11A69"/>
    <w:rsid w:val="00E12932"/>
    <w:rsid w:val="00E12DF6"/>
    <w:rsid w:val="00E1409B"/>
    <w:rsid w:val="00E142B9"/>
    <w:rsid w:val="00E143FC"/>
    <w:rsid w:val="00E15115"/>
    <w:rsid w:val="00E1582E"/>
    <w:rsid w:val="00E1585E"/>
    <w:rsid w:val="00E15E0D"/>
    <w:rsid w:val="00E20265"/>
    <w:rsid w:val="00E20616"/>
    <w:rsid w:val="00E2068C"/>
    <w:rsid w:val="00E22179"/>
    <w:rsid w:val="00E22D12"/>
    <w:rsid w:val="00E2327D"/>
    <w:rsid w:val="00E23296"/>
    <w:rsid w:val="00E233B4"/>
    <w:rsid w:val="00E237AA"/>
    <w:rsid w:val="00E23BF6"/>
    <w:rsid w:val="00E25169"/>
    <w:rsid w:val="00E25A45"/>
    <w:rsid w:val="00E262B6"/>
    <w:rsid w:val="00E26347"/>
    <w:rsid w:val="00E265FF"/>
    <w:rsid w:val="00E26AA3"/>
    <w:rsid w:val="00E26D0C"/>
    <w:rsid w:val="00E26EFC"/>
    <w:rsid w:val="00E271E3"/>
    <w:rsid w:val="00E27387"/>
    <w:rsid w:val="00E27AAE"/>
    <w:rsid w:val="00E30531"/>
    <w:rsid w:val="00E30737"/>
    <w:rsid w:val="00E317FD"/>
    <w:rsid w:val="00E327B5"/>
    <w:rsid w:val="00E32F81"/>
    <w:rsid w:val="00E33163"/>
    <w:rsid w:val="00E33BF4"/>
    <w:rsid w:val="00E35862"/>
    <w:rsid w:val="00E359AC"/>
    <w:rsid w:val="00E35A9D"/>
    <w:rsid w:val="00E35B04"/>
    <w:rsid w:val="00E360B6"/>
    <w:rsid w:val="00E364C0"/>
    <w:rsid w:val="00E36CAF"/>
    <w:rsid w:val="00E36DCF"/>
    <w:rsid w:val="00E36E09"/>
    <w:rsid w:val="00E37379"/>
    <w:rsid w:val="00E37C22"/>
    <w:rsid w:val="00E41ED0"/>
    <w:rsid w:val="00E426CF"/>
    <w:rsid w:val="00E42B0B"/>
    <w:rsid w:val="00E44C88"/>
    <w:rsid w:val="00E45188"/>
    <w:rsid w:val="00E45821"/>
    <w:rsid w:val="00E45C4D"/>
    <w:rsid w:val="00E45C9F"/>
    <w:rsid w:val="00E45E66"/>
    <w:rsid w:val="00E45FA7"/>
    <w:rsid w:val="00E50B6F"/>
    <w:rsid w:val="00E54A89"/>
    <w:rsid w:val="00E54E6A"/>
    <w:rsid w:val="00E5537D"/>
    <w:rsid w:val="00E559B0"/>
    <w:rsid w:val="00E55D6E"/>
    <w:rsid w:val="00E55EF9"/>
    <w:rsid w:val="00E6104E"/>
    <w:rsid w:val="00E61911"/>
    <w:rsid w:val="00E626F1"/>
    <w:rsid w:val="00E62A3E"/>
    <w:rsid w:val="00E645B6"/>
    <w:rsid w:val="00E6522C"/>
    <w:rsid w:val="00E65927"/>
    <w:rsid w:val="00E66607"/>
    <w:rsid w:val="00E673AA"/>
    <w:rsid w:val="00E67A7B"/>
    <w:rsid w:val="00E708B6"/>
    <w:rsid w:val="00E73767"/>
    <w:rsid w:val="00E745FD"/>
    <w:rsid w:val="00E74D70"/>
    <w:rsid w:val="00E754E1"/>
    <w:rsid w:val="00E75A79"/>
    <w:rsid w:val="00E77FDB"/>
    <w:rsid w:val="00E8012C"/>
    <w:rsid w:val="00E810D3"/>
    <w:rsid w:val="00E838E4"/>
    <w:rsid w:val="00E83BA2"/>
    <w:rsid w:val="00E83D06"/>
    <w:rsid w:val="00E851F7"/>
    <w:rsid w:val="00E85816"/>
    <w:rsid w:val="00E858F0"/>
    <w:rsid w:val="00E85C60"/>
    <w:rsid w:val="00E860FF"/>
    <w:rsid w:val="00E862F0"/>
    <w:rsid w:val="00E8756C"/>
    <w:rsid w:val="00E878E7"/>
    <w:rsid w:val="00E87B53"/>
    <w:rsid w:val="00E91396"/>
    <w:rsid w:val="00E92083"/>
    <w:rsid w:val="00E93565"/>
    <w:rsid w:val="00E93C23"/>
    <w:rsid w:val="00E9401F"/>
    <w:rsid w:val="00E97D2C"/>
    <w:rsid w:val="00EA0488"/>
    <w:rsid w:val="00EA0669"/>
    <w:rsid w:val="00EA07A8"/>
    <w:rsid w:val="00EA1C62"/>
    <w:rsid w:val="00EA2EE6"/>
    <w:rsid w:val="00EA41E5"/>
    <w:rsid w:val="00EA53A6"/>
    <w:rsid w:val="00EA5C6A"/>
    <w:rsid w:val="00EA7139"/>
    <w:rsid w:val="00EA72ED"/>
    <w:rsid w:val="00EA742C"/>
    <w:rsid w:val="00EB00B9"/>
    <w:rsid w:val="00EB0150"/>
    <w:rsid w:val="00EB0357"/>
    <w:rsid w:val="00EB0498"/>
    <w:rsid w:val="00EB1905"/>
    <w:rsid w:val="00EB2DF0"/>
    <w:rsid w:val="00EB3533"/>
    <w:rsid w:val="00EB39DD"/>
    <w:rsid w:val="00EB3E7D"/>
    <w:rsid w:val="00EB4A2A"/>
    <w:rsid w:val="00EB6C55"/>
    <w:rsid w:val="00EB7929"/>
    <w:rsid w:val="00EC01E5"/>
    <w:rsid w:val="00EC05C9"/>
    <w:rsid w:val="00EC0BF8"/>
    <w:rsid w:val="00EC35B4"/>
    <w:rsid w:val="00EC3FA2"/>
    <w:rsid w:val="00EC4829"/>
    <w:rsid w:val="00EC55AF"/>
    <w:rsid w:val="00EC5EE2"/>
    <w:rsid w:val="00EC6A5C"/>
    <w:rsid w:val="00EC72CD"/>
    <w:rsid w:val="00ED065E"/>
    <w:rsid w:val="00ED0665"/>
    <w:rsid w:val="00ED0D99"/>
    <w:rsid w:val="00ED2B50"/>
    <w:rsid w:val="00ED34DE"/>
    <w:rsid w:val="00ED35C7"/>
    <w:rsid w:val="00ED3B92"/>
    <w:rsid w:val="00ED3F13"/>
    <w:rsid w:val="00ED4670"/>
    <w:rsid w:val="00ED5429"/>
    <w:rsid w:val="00ED72DE"/>
    <w:rsid w:val="00ED7B1B"/>
    <w:rsid w:val="00EE0ABB"/>
    <w:rsid w:val="00EE0FF3"/>
    <w:rsid w:val="00EE1D44"/>
    <w:rsid w:val="00EE37AC"/>
    <w:rsid w:val="00EE3AC2"/>
    <w:rsid w:val="00EE3AC7"/>
    <w:rsid w:val="00EE3C36"/>
    <w:rsid w:val="00EE41BE"/>
    <w:rsid w:val="00EE65E7"/>
    <w:rsid w:val="00EE6B23"/>
    <w:rsid w:val="00EE7042"/>
    <w:rsid w:val="00EF0965"/>
    <w:rsid w:val="00EF0BA0"/>
    <w:rsid w:val="00EF1C2E"/>
    <w:rsid w:val="00EF22F2"/>
    <w:rsid w:val="00EF2B22"/>
    <w:rsid w:val="00EF4C50"/>
    <w:rsid w:val="00EF56CB"/>
    <w:rsid w:val="00EF7B53"/>
    <w:rsid w:val="00EF7FF0"/>
    <w:rsid w:val="00F007C8"/>
    <w:rsid w:val="00F007CB"/>
    <w:rsid w:val="00F020D4"/>
    <w:rsid w:val="00F020F1"/>
    <w:rsid w:val="00F02A42"/>
    <w:rsid w:val="00F02B61"/>
    <w:rsid w:val="00F03D2D"/>
    <w:rsid w:val="00F0485F"/>
    <w:rsid w:val="00F04C5E"/>
    <w:rsid w:val="00F0503F"/>
    <w:rsid w:val="00F053B5"/>
    <w:rsid w:val="00F05708"/>
    <w:rsid w:val="00F0575B"/>
    <w:rsid w:val="00F10818"/>
    <w:rsid w:val="00F11592"/>
    <w:rsid w:val="00F12165"/>
    <w:rsid w:val="00F128E8"/>
    <w:rsid w:val="00F13C12"/>
    <w:rsid w:val="00F13E4E"/>
    <w:rsid w:val="00F159A5"/>
    <w:rsid w:val="00F15DA5"/>
    <w:rsid w:val="00F162AB"/>
    <w:rsid w:val="00F20150"/>
    <w:rsid w:val="00F2290A"/>
    <w:rsid w:val="00F24252"/>
    <w:rsid w:val="00F245D1"/>
    <w:rsid w:val="00F25CCE"/>
    <w:rsid w:val="00F30134"/>
    <w:rsid w:val="00F30C7B"/>
    <w:rsid w:val="00F3167C"/>
    <w:rsid w:val="00F31932"/>
    <w:rsid w:val="00F319EE"/>
    <w:rsid w:val="00F320F4"/>
    <w:rsid w:val="00F3240A"/>
    <w:rsid w:val="00F33447"/>
    <w:rsid w:val="00F33F19"/>
    <w:rsid w:val="00F34085"/>
    <w:rsid w:val="00F358C5"/>
    <w:rsid w:val="00F364E4"/>
    <w:rsid w:val="00F36B67"/>
    <w:rsid w:val="00F375EE"/>
    <w:rsid w:val="00F4004D"/>
    <w:rsid w:val="00F42173"/>
    <w:rsid w:val="00F423AA"/>
    <w:rsid w:val="00F43202"/>
    <w:rsid w:val="00F43902"/>
    <w:rsid w:val="00F43DFF"/>
    <w:rsid w:val="00F445D9"/>
    <w:rsid w:val="00F44DC1"/>
    <w:rsid w:val="00F4520B"/>
    <w:rsid w:val="00F45338"/>
    <w:rsid w:val="00F45487"/>
    <w:rsid w:val="00F457C9"/>
    <w:rsid w:val="00F45DF6"/>
    <w:rsid w:val="00F47437"/>
    <w:rsid w:val="00F47C79"/>
    <w:rsid w:val="00F47FA9"/>
    <w:rsid w:val="00F512CA"/>
    <w:rsid w:val="00F5152C"/>
    <w:rsid w:val="00F53336"/>
    <w:rsid w:val="00F535E5"/>
    <w:rsid w:val="00F53C14"/>
    <w:rsid w:val="00F54210"/>
    <w:rsid w:val="00F54A3C"/>
    <w:rsid w:val="00F55B06"/>
    <w:rsid w:val="00F55FD3"/>
    <w:rsid w:val="00F56511"/>
    <w:rsid w:val="00F56BE3"/>
    <w:rsid w:val="00F56E32"/>
    <w:rsid w:val="00F62956"/>
    <w:rsid w:val="00F637A0"/>
    <w:rsid w:val="00F639C3"/>
    <w:rsid w:val="00F63DFF"/>
    <w:rsid w:val="00F65396"/>
    <w:rsid w:val="00F6698F"/>
    <w:rsid w:val="00F675C0"/>
    <w:rsid w:val="00F67926"/>
    <w:rsid w:val="00F70342"/>
    <w:rsid w:val="00F71F1A"/>
    <w:rsid w:val="00F724D5"/>
    <w:rsid w:val="00F73996"/>
    <w:rsid w:val="00F74903"/>
    <w:rsid w:val="00F74CCA"/>
    <w:rsid w:val="00F74D65"/>
    <w:rsid w:val="00F75326"/>
    <w:rsid w:val="00F75A43"/>
    <w:rsid w:val="00F75A61"/>
    <w:rsid w:val="00F771A4"/>
    <w:rsid w:val="00F7770D"/>
    <w:rsid w:val="00F801D4"/>
    <w:rsid w:val="00F8199B"/>
    <w:rsid w:val="00F81D48"/>
    <w:rsid w:val="00F822FE"/>
    <w:rsid w:val="00F8238B"/>
    <w:rsid w:val="00F82444"/>
    <w:rsid w:val="00F82690"/>
    <w:rsid w:val="00F83009"/>
    <w:rsid w:val="00F832E7"/>
    <w:rsid w:val="00F838A9"/>
    <w:rsid w:val="00F83910"/>
    <w:rsid w:val="00F84212"/>
    <w:rsid w:val="00F84D40"/>
    <w:rsid w:val="00F85C92"/>
    <w:rsid w:val="00F86078"/>
    <w:rsid w:val="00F86122"/>
    <w:rsid w:val="00F877FF"/>
    <w:rsid w:val="00F87D35"/>
    <w:rsid w:val="00F90254"/>
    <w:rsid w:val="00F90313"/>
    <w:rsid w:val="00F90A66"/>
    <w:rsid w:val="00F911C3"/>
    <w:rsid w:val="00F9237B"/>
    <w:rsid w:val="00F9286F"/>
    <w:rsid w:val="00F9349A"/>
    <w:rsid w:val="00F9352D"/>
    <w:rsid w:val="00F938EF"/>
    <w:rsid w:val="00F940F8"/>
    <w:rsid w:val="00F94B8B"/>
    <w:rsid w:val="00F94FE3"/>
    <w:rsid w:val="00F9598B"/>
    <w:rsid w:val="00F963AE"/>
    <w:rsid w:val="00F96DAF"/>
    <w:rsid w:val="00F97032"/>
    <w:rsid w:val="00F9796D"/>
    <w:rsid w:val="00FA0212"/>
    <w:rsid w:val="00FA11A2"/>
    <w:rsid w:val="00FA1619"/>
    <w:rsid w:val="00FA2CEF"/>
    <w:rsid w:val="00FA3B13"/>
    <w:rsid w:val="00FA3C63"/>
    <w:rsid w:val="00FA4E1F"/>
    <w:rsid w:val="00FA5325"/>
    <w:rsid w:val="00FA56A1"/>
    <w:rsid w:val="00FA5E83"/>
    <w:rsid w:val="00FA71E4"/>
    <w:rsid w:val="00FA7BF0"/>
    <w:rsid w:val="00FA7BF3"/>
    <w:rsid w:val="00FB0692"/>
    <w:rsid w:val="00FB0ACA"/>
    <w:rsid w:val="00FB0C88"/>
    <w:rsid w:val="00FB1190"/>
    <w:rsid w:val="00FB1963"/>
    <w:rsid w:val="00FB1ABA"/>
    <w:rsid w:val="00FB34DA"/>
    <w:rsid w:val="00FB3715"/>
    <w:rsid w:val="00FB3A2D"/>
    <w:rsid w:val="00FB400E"/>
    <w:rsid w:val="00FB5673"/>
    <w:rsid w:val="00FB5BD6"/>
    <w:rsid w:val="00FB6BB5"/>
    <w:rsid w:val="00FB72B7"/>
    <w:rsid w:val="00FB7BE9"/>
    <w:rsid w:val="00FC0A85"/>
    <w:rsid w:val="00FC0C8E"/>
    <w:rsid w:val="00FC0EA0"/>
    <w:rsid w:val="00FC0EDC"/>
    <w:rsid w:val="00FC213C"/>
    <w:rsid w:val="00FC3DDC"/>
    <w:rsid w:val="00FC499E"/>
    <w:rsid w:val="00FC612B"/>
    <w:rsid w:val="00FC6D37"/>
    <w:rsid w:val="00FC6F52"/>
    <w:rsid w:val="00FC70D7"/>
    <w:rsid w:val="00FD0262"/>
    <w:rsid w:val="00FD1412"/>
    <w:rsid w:val="00FD1943"/>
    <w:rsid w:val="00FD2CC2"/>
    <w:rsid w:val="00FD31B5"/>
    <w:rsid w:val="00FD341D"/>
    <w:rsid w:val="00FD40C2"/>
    <w:rsid w:val="00FD43B3"/>
    <w:rsid w:val="00FD56ED"/>
    <w:rsid w:val="00FD5D00"/>
    <w:rsid w:val="00FD6314"/>
    <w:rsid w:val="00FD77FB"/>
    <w:rsid w:val="00FE0724"/>
    <w:rsid w:val="00FE0A6F"/>
    <w:rsid w:val="00FE12DD"/>
    <w:rsid w:val="00FE6BD8"/>
    <w:rsid w:val="00FE6E3C"/>
    <w:rsid w:val="00FF08A0"/>
    <w:rsid w:val="00FF191C"/>
    <w:rsid w:val="00FF1F53"/>
    <w:rsid w:val="00FF2027"/>
    <w:rsid w:val="00FF3D3C"/>
    <w:rsid w:val="00FF3DD5"/>
    <w:rsid w:val="00FF4144"/>
    <w:rsid w:val="00FF435C"/>
    <w:rsid w:val="00FF4790"/>
    <w:rsid w:val="00FF4A3D"/>
    <w:rsid w:val="00FF4BF8"/>
    <w:rsid w:val="00FF67BE"/>
    <w:rsid w:val="00FF697C"/>
    <w:rsid w:val="00FF72CA"/>
    <w:rsid w:val="00FF7434"/>
    <w:rsid w:val="00FF799A"/>
    <w:rsid w:val="00FF7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50"/>
    <w:pPr>
      <w:spacing w:after="0" w:line="240" w:lineRule="auto"/>
    </w:pPr>
    <w:rPr>
      <w:rFonts w:ascii="Times New Roman" w:eastAsia="Calibri" w:hAnsi="Times New Roman" w:cs="Times New Roman"/>
      <w:sz w:val="24"/>
      <w:szCs w:val="24"/>
      <w:lang w:val="sq-AL" w:eastAsia="sq-AL"/>
    </w:rPr>
  </w:style>
  <w:style w:type="paragraph" w:styleId="Heading1">
    <w:name w:val="heading 1"/>
    <w:basedOn w:val="Normal"/>
    <w:next w:val="Normal"/>
    <w:link w:val="Heading1Char"/>
    <w:uiPriority w:val="9"/>
    <w:qFormat/>
    <w:rsid w:val="0013005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30050"/>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nhideWhenUsed/>
    <w:qFormat/>
    <w:rsid w:val="00130050"/>
    <w:pPr>
      <w:keepNext/>
      <w:spacing w:before="240" w:after="60"/>
      <w:outlineLvl w:val="2"/>
    </w:pPr>
    <w:rPr>
      <w:rFonts w:ascii="Cambria" w:eastAsia="Times New Roman" w:hAnsi="Cambria"/>
      <w:b/>
      <w:bCs/>
      <w:sz w:val="26"/>
      <w:szCs w:val="26"/>
    </w:rPr>
  </w:style>
  <w:style w:type="paragraph" w:styleId="Heading4">
    <w:name w:val="heading 4"/>
    <w:basedOn w:val="ListParagraph"/>
    <w:next w:val="Normal"/>
    <w:link w:val="Heading4Char"/>
    <w:uiPriority w:val="9"/>
    <w:unhideWhenUsed/>
    <w:qFormat/>
    <w:rsid w:val="000D25D6"/>
    <w:pPr>
      <w:ind w:hanging="360"/>
      <w:contextualSpacing w:val="0"/>
      <w:jc w:val="both"/>
      <w:outlineLvl w:val="3"/>
    </w:pPr>
    <w:rPr>
      <w:rFonts w:ascii="Calibri" w:eastAsia="Times New Roman" w:hAnsi="Calibri"/>
      <w:b/>
      <w:lang w:val="en-GB" w:eastAsia="en-US"/>
    </w:rPr>
  </w:style>
  <w:style w:type="paragraph" w:styleId="Heading5">
    <w:name w:val="heading 5"/>
    <w:basedOn w:val="Heading4"/>
    <w:next w:val="Normal"/>
    <w:link w:val="Heading5Char"/>
    <w:uiPriority w:val="9"/>
    <w:unhideWhenUsed/>
    <w:qFormat/>
    <w:rsid w:val="000D25D6"/>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050"/>
    <w:rPr>
      <w:rFonts w:ascii="Cambria" w:eastAsia="Times New Roman" w:hAnsi="Cambria" w:cs="Times New Roman"/>
      <w:b/>
      <w:bCs/>
      <w:kern w:val="32"/>
      <w:sz w:val="32"/>
      <w:szCs w:val="32"/>
      <w:lang w:val="sq-AL" w:eastAsia="sq-AL"/>
    </w:rPr>
  </w:style>
  <w:style w:type="character" w:customStyle="1" w:styleId="Heading2Char">
    <w:name w:val="Heading 2 Char"/>
    <w:basedOn w:val="DefaultParagraphFont"/>
    <w:link w:val="Heading2"/>
    <w:uiPriority w:val="9"/>
    <w:rsid w:val="00130050"/>
    <w:rPr>
      <w:rFonts w:ascii="Cambria" w:eastAsia="MS Gothic" w:hAnsi="Cambria" w:cs="Times New Roman"/>
      <w:b/>
      <w:bCs/>
      <w:color w:val="4F81BD"/>
      <w:sz w:val="26"/>
      <w:szCs w:val="26"/>
      <w:lang w:val="sq-AL" w:eastAsia="sq-AL"/>
    </w:rPr>
  </w:style>
  <w:style w:type="character" w:customStyle="1" w:styleId="Heading3Char">
    <w:name w:val="Heading 3 Char"/>
    <w:basedOn w:val="DefaultParagraphFont"/>
    <w:link w:val="Heading3"/>
    <w:rsid w:val="00130050"/>
    <w:rPr>
      <w:rFonts w:ascii="Cambria" w:eastAsia="Times New Roman" w:hAnsi="Cambria" w:cs="Times New Roman"/>
      <w:b/>
      <w:bCs/>
      <w:sz w:val="26"/>
      <w:szCs w:val="26"/>
      <w:lang w:val="sq-AL" w:eastAsia="sq-AL"/>
    </w:r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uiPriority w:val="99"/>
    <w:qFormat/>
    <w:rsid w:val="00130050"/>
    <w:rPr>
      <w:rFonts w:eastAsia="Times New Roman"/>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uiPriority w:val="99"/>
    <w:rsid w:val="00130050"/>
    <w:rPr>
      <w:rFonts w:ascii="Times New Roman" w:eastAsia="Times New Roman" w:hAnsi="Times New Roman" w:cs="Times New Roman"/>
      <w:sz w:val="20"/>
      <w:szCs w:val="20"/>
      <w:lang w:val="sq-AL" w:eastAsia="sq-AL"/>
    </w:rPr>
  </w:style>
  <w:style w:type="paragraph" w:styleId="CommentText">
    <w:name w:val="annotation text"/>
    <w:basedOn w:val="Normal"/>
    <w:link w:val="CommentTextChar"/>
    <w:uiPriority w:val="99"/>
    <w:rsid w:val="00130050"/>
    <w:rPr>
      <w:rFonts w:eastAsia="Times New Roman"/>
      <w:sz w:val="20"/>
      <w:szCs w:val="20"/>
    </w:rPr>
  </w:style>
  <w:style w:type="character" w:customStyle="1" w:styleId="CommentTextChar">
    <w:name w:val="Comment Text Char"/>
    <w:basedOn w:val="DefaultParagraphFont"/>
    <w:link w:val="CommentText"/>
    <w:uiPriority w:val="99"/>
    <w:rsid w:val="00130050"/>
    <w:rPr>
      <w:rFonts w:ascii="Times New Roman" w:eastAsia="Times New Roman" w:hAnsi="Times New Roman" w:cs="Times New Roman"/>
      <w:sz w:val="20"/>
      <w:szCs w:val="20"/>
      <w:lang w:val="sq-AL" w:eastAsia="sq-AL"/>
    </w:rPr>
  </w:style>
  <w:style w:type="paragraph" w:styleId="Header">
    <w:name w:val="header"/>
    <w:basedOn w:val="Normal"/>
    <w:link w:val="HeaderChar"/>
    <w:uiPriority w:val="99"/>
    <w:rsid w:val="0013005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130050"/>
    <w:rPr>
      <w:rFonts w:ascii="Times New Roman" w:eastAsia="Times New Roman" w:hAnsi="Times New Roman" w:cs="Times New Roman"/>
      <w:sz w:val="24"/>
      <w:szCs w:val="24"/>
      <w:lang w:val="sq-AL" w:eastAsia="sq-AL"/>
    </w:rPr>
  </w:style>
  <w:style w:type="paragraph" w:styleId="Footer">
    <w:name w:val="footer"/>
    <w:basedOn w:val="Normal"/>
    <w:link w:val="FooterChar"/>
    <w:uiPriority w:val="99"/>
    <w:rsid w:val="0013005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130050"/>
    <w:rPr>
      <w:rFonts w:ascii="Times New Roman" w:eastAsia="Times New Roman" w:hAnsi="Times New Roman" w:cs="Times New Roman"/>
      <w:sz w:val="24"/>
      <w:szCs w:val="24"/>
      <w:lang w:val="sq-AL" w:eastAsia="sq-AL"/>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link w:val="BVIfnrCarCarCarCarChar"/>
    <w:uiPriority w:val="99"/>
    <w:qFormat/>
    <w:rsid w:val="00130050"/>
    <w:rPr>
      <w:vertAlign w:val="superscript"/>
      <w:lang w:val="sq-AL" w:eastAsia="sq-AL"/>
    </w:rPr>
  </w:style>
  <w:style w:type="character" w:styleId="CommentReference">
    <w:name w:val="annotation reference"/>
    <w:uiPriority w:val="99"/>
    <w:rsid w:val="00130050"/>
    <w:rPr>
      <w:sz w:val="16"/>
      <w:szCs w:val="16"/>
      <w:lang w:val="sq-AL" w:eastAsia="sq-AL"/>
    </w:rPr>
  </w:style>
  <w:style w:type="paragraph" w:styleId="BodyTextIndent2">
    <w:name w:val="Body Text Indent 2"/>
    <w:basedOn w:val="Normal"/>
    <w:link w:val="BodyTextIndent2Char"/>
    <w:rsid w:val="00130050"/>
    <w:pPr>
      <w:spacing w:after="120" w:line="480" w:lineRule="auto"/>
      <w:ind w:left="360"/>
    </w:pPr>
    <w:rPr>
      <w:rFonts w:ascii="Courier New" w:eastAsia="Times New Roman" w:hAnsi="Courier New"/>
      <w:sz w:val="14"/>
      <w:szCs w:val="20"/>
    </w:rPr>
  </w:style>
  <w:style w:type="character" w:customStyle="1" w:styleId="BodyTextIndent2Char">
    <w:name w:val="Body Text Indent 2 Char"/>
    <w:basedOn w:val="DefaultParagraphFont"/>
    <w:link w:val="BodyTextIndent2"/>
    <w:rsid w:val="00130050"/>
    <w:rPr>
      <w:rFonts w:ascii="Courier New" w:eastAsia="Times New Roman" w:hAnsi="Courier New" w:cs="Times New Roman"/>
      <w:sz w:val="14"/>
      <w:szCs w:val="20"/>
      <w:lang w:val="sq-AL" w:eastAsia="sq-AL"/>
    </w:rPr>
  </w:style>
  <w:style w:type="character" w:styleId="Hyperlink">
    <w:name w:val="Hyperlink"/>
    <w:uiPriority w:val="99"/>
    <w:rsid w:val="00130050"/>
    <w:rPr>
      <w:color w:val="0000FF"/>
      <w:u w:val="single"/>
      <w:lang w:val="sq-AL" w:eastAsia="sq-AL"/>
    </w:rPr>
  </w:style>
  <w:style w:type="paragraph" w:styleId="CommentSubject">
    <w:name w:val="annotation subject"/>
    <w:basedOn w:val="CommentText"/>
    <w:next w:val="CommentText"/>
    <w:link w:val="CommentSubjectChar"/>
    <w:uiPriority w:val="99"/>
    <w:rsid w:val="00130050"/>
    <w:rPr>
      <w:b/>
      <w:bCs/>
    </w:rPr>
  </w:style>
  <w:style w:type="character" w:customStyle="1" w:styleId="CommentSubjectChar">
    <w:name w:val="Comment Subject Char"/>
    <w:basedOn w:val="CommentTextChar"/>
    <w:link w:val="CommentSubject"/>
    <w:uiPriority w:val="99"/>
    <w:rsid w:val="00130050"/>
    <w:rPr>
      <w:rFonts w:ascii="Times New Roman" w:eastAsia="Times New Roman" w:hAnsi="Times New Roman" w:cs="Times New Roman"/>
      <w:b/>
      <w:bCs/>
      <w:sz w:val="20"/>
      <w:szCs w:val="20"/>
      <w:lang w:val="sq-AL" w:eastAsia="sq-AL"/>
    </w:rPr>
  </w:style>
  <w:style w:type="paragraph" w:styleId="BalloonText">
    <w:name w:val="Balloon Text"/>
    <w:basedOn w:val="Normal"/>
    <w:link w:val="BalloonTextChar"/>
    <w:uiPriority w:val="99"/>
    <w:semiHidden/>
    <w:rsid w:val="00130050"/>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30050"/>
    <w:rPr>
      <w:rFonts w:ascii="Tahoma" w:eastAsia="Times New Roman" w:hAnsi="Tahoma" w:cs="Times New Roman"/>
      <w:sz w:val="16"/>
      <w:szCs w:val="16"/>
      <w:lang w:val="sq-AL" w:eastAsia="sq-AL"/>
    </w:rPr>
  </w:style>
  <w:style w:type="table" w:styleId="TableGrid">
    <w:name w:val="Table Grid"/>
    <w:basedOn w:val="TableNormal"/>
    <w:uiPriority w:val="59"/>
    <w:rsid w:val="00130050"/>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130050"/>
    <w:rPr>
      <w:i/>
      <w:iCs/>
      <w:lang w:val="sq-AL" w:eastAsia="sq-AL"/>
    </w:rPr>
  </w:style>
  <w:style w:type="paragraph" w:styleId="Subtitle">
    <w:name w:val="Subtitle"/>
    <w:basedOn w:val="Normal"/>
    <w:next w:val="Normal"/>
    <w:link w:val="SubtitleChar"/>
    <w:qFormat/>
    <w:rsid w:val="00130050"/>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rsid w:val="00130050"/>
    <w:rPr>
      <w:rFonts w:ascii="Cambria" w:eastAsia="Times New Roman" w:hAnsi="Cambria" w:cs="Times New Roman"/>
      <w:i/>
      <w:iCs/>
      <w:color w:val="4F81BD"/>
      <w:spacing w:val="15"/>
      <w:sz w:val="24"/>
      <w:szCs w:val="24"/>
      <w:lang w:val="sq-AL" w:eastAsia="sq-AL"/>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130050"/>
    <w:pPr>
      <w:ind w:left="720"/>
      <w:contextualSpacing/>
    </w:pPr>
  </w:style>
  <w:style w:type="character" w:customStyle="1" w:styleId="hps">
    <w:name w:val="hps"/>
    <w:basedOn w:val="DefaultParagraphFont"/>
    <w:rsid w:val="00130050"/>
  </w:style>
  <w:style w:type="paragraph" w:styleId="Title">
    <w:name w:val="Title"/>
    <w:basedOn w:val="Normal"/>
    <w:next w:val="Normal"/>
    <w:link w:val="TitleChar"/>
    <w:qFormat/>
    <w:rsid w:val="0013005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130050"/>
    <w:rPr>
      <w:rFonts w:ascii="Cambria" w:eastAsia="Times New Roman" w:hAnsi="Cambria" w:cs="Times New Roman"/>
      <w:color w:val="17365D"/>
      <w:spacing w:val="5"/>
      <w:kern w:val="28"/>
      <w:sz w:val="52"/>
      <w:szCs w:val="52"/>
      <w:lang w:val="sq-AL" w:eastAsia="sq-AL"/>
    </w:rPr>
  </w:style>
  <w:style w:type="paragraph" w:styleId="TOC1">
    <w:name w:val="toc 1"/>
    <w:basedOn w:val="Normal"/>
    <w:next w:val="Normal"/>
    <w:autoRedefine/>
    <w:uiPriority w:val="39"/>
    <w:qFormat/>
    <w:rsid w:val="00096459"/>
    <w:pPr>
      <w:tabs>
        <w:tab w:val="right" w:leader="dot" w:pos="9350"/>
      </w:tabs>
      <w:spacing w:line="276" w:lineRule="auto"/>
    </w:pPr>
    <w:rPr>
      <w:b/>
      <w:bCs/>
      <w:smallCaps/>
      <w:noProof/>
    </w:rPr>
  </w:style>
  <w:style w:type="paragraph" w:styleId="DocumentMap">
    <w:name w:val="Document Map"/>
    <w:basedOn w:val="Normal"/>
    <w:link w:val="DocumentMapChar"/>
    <w:rsid w:val="00130050"/>
    <w:rPr>
      <w:rFonts w:ascii="Tahoma" w:hAnsi="Tahoma"/>
      <w:sz w:val="16"/>
      <w:szCs w:val="16"/>
    </w:rPr>
  </w:style>
  <w:style w:type="character" w:customStyle="1" w:styleId="DocumentMapChar">
    <w:name w:val="Document Map Char"/>
    <w:basedOn w:val="DefaultParagraphFont"/>
    <w:link w:val="DocumentMap"/>
    <w:rsid w:val="00130050"/>
    <w:rPr>
      <w:rFonts w:ascii="Tahoma" w:eastAsia="Calibri" w:hAnsi="Tahoma" w:cs="Times New Roman"/>
      <w:sz w:val="16"/>
      <w:szCs w:val="16"/>
      <w:lang w:val="sq-AL" w:eastAsia="sq-AL"/>
    </w:rPr>
  </w:style>
  <w:style w:type="paragraph" w:styleId="NoSpacing">
    <w:name w:val="No Spacing"/>
    <w:link w:val="NoSpacingChar"/>
    <w:uiPriority w:val="1"/>
    <w:qFormat/>
    <w:rsid w:val="00130050"/>
    <w:pPr>
      <w:widowControl w:val="0"/>
      <w:spacing w:after="0" w:line="240" w:lineRule="auto"/>
    </w:pPr>
    <w:rPr>
      <w:rFonts w:ascii="Courier New" w:eastAsia="Courier New" w:hAnsi="Courier New" w:cs="Courier New"/>
      <w:color w:val="000000"/>
      <w:sz w:val="24"/>
      <w:szCs w:val="24"/>
      <w:lang w:val="sq-AL" w:eastAsia="sq-AL"/>
    </w:rPr>
  </w:style>
  <w:style w:type="paragraph" w:styleId="Revision">
    <w:name w:val="Revision"/>
    <w:hidden/>
    <w:uiPriority w:val="99"/>
    <w:semiHidden/>
    <w:rsid w:val="00130050"/>
    <w:pPr>
      <w:spacing w:after="0" w:line="240" w:lineRule="auto"/>
    </w:pPr>
    <w:rPr>
      <w:rFonts w:ascii="Times New Roman" w:eastAsia="Calibri" w:hAnsi="Times New Roman" w:cs="Times New Roman"/>
      <w:sz w:val="24"/>
      <w:szCs w:val="24"/>
      <w:lang w:val="sq-AL" w:eastAsia="sq-AL"/>
    </w:rPr>
  </w:style>
  <w:style w:type="character" w:styleId="FollowedHyperlink">
    <w:name w:val="FollowedHyperlink"/>
    <w:rsid w:val="00130050"/>
    <w:rPr>
      <w:color w:val="800080"/>
      <w:u w:val="single"/>
      <w:lang w:val="sq-AL" w:eastAsia="sq-AL"/>
    </w:rPr>
  </w:style>
  <w:style w:type="paragraph" w:styleId="TOC2">
    <w:name w:val="toc 2"/>
    <w:basedOn w:val="Normal"/>
    <w:next w:val="Normal"/>
    <w:autoRedefine/>
    <w:uiPriority w:val="39"/>
    <w:qFormat/>
    <w:rsid w:val="00382B47"/>
    <w:pPr>
      <w:spacing w:before="120" w:after="120"/>
      <w:ind w:left="238"/>
    </w:pPr>
    <w:rPr>
      <w:noProof/>
    </w:rPr>
  </w:style>
  <w:style w:type="character" w:customStyle="1" w:styleId="NormalWebChar">
    <w:name w:val="Normal (Web) Char"/>
    <w:link w:val="NormalWeb"/>
    <w:uiPriority w:val="99"/>
    <w:locked/>
    <w:rsid w:val="00130050"/>
    <w:rPr>
      <w:sz w:val="24"/>
      <w:lang w:val="sq-AL" w:eastAsia="sq-AL"/>
    </w:rPr>
  </w:style>
  <w:style w:type="paragraph" w:styleId="NormalWeb">
    <w:name w:val="Normal (Web)"/>
    <w:basedOn w:val="Normal"/>
    <w:link w:val="NormalWebChar"/>
    <w:uiPriority w:val="99"/>
    <w:rsid w:val="00130050"/>
    <w:pPr>
      <w:spacing w:before="100" w:beforeAutospacing="1" w:after="100" w:afterAutospacing="1"/>
    </w:pPr>
    <w:rPr>
      <w:rFonts w:asciiTheme="minorHAnsi" w:eastAsiaTheme="minorHAnsi" w:hAnsiTheme="minorHAnsi" w:cstheme="minorBidi"/>
      <w:szCs w:val="22"/>
    </w:rPr>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130050"/>
    <w:rPr>
      <w:rFonts w:ascii="Helvetica" w:hAnsi="Helvetica" w:cs="Times New Roman"/>
      <w:sz w:val="20"/>
      <w:szCs w:val="20"/>
      <w:lang w:val="sq-AL"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130050"/>
    <w:rPr>
      <w:rFonts w:ascii="Times New Roman" w:eastAsia="Calibri" w:hAnsi="Times New Roman" w:cs="Times New Roman"/>
      <w:sz w:val="24"/>
      <w:szCs w:val="24"/>
      <w:lang w:val="sq-AL" w:eastAsia="sq-AL"/>
    </w:rPr>
  </w:style>
  <w:style w:type="character" w:customStyle="1" w:styleId="fletore">
    <w:name w:val="fletore"/>
    <w:uiPriority w:val="99"/>
    <w:rsid w:val="00130050"/>
    <w:rPr>
      <w:rFonts w:cs="Times New Roman"/>
      <w:lang w:val="sq-AL" w:eastAsia="sq-AL"/>
    </w:rPr>
  </w:style>
  <w:style w:type="character" w:customStyle="1" w:styleId="actstitle">
    <w:name w:val="actstitle"/>
    <w:uiPriority w:val="99"/>
    <w:rsid w:val="00130050"/>
    <w:rPr>
      <w:rFonts w:cs="Times New Roman"/>
      <w:lang w:val="sq-AL" w:eastAsia="sq-AL"/>
    </w:rPr>
  </w:style>
  <w:style w:type="paragraph" w:customStyle="1" w:styleId="BVIfnrCarCarCarCarChar">
    <w:name w:val="BVI fnr Car Car Car Car Char"/>
    <w:basedOn w:val="Normal"/>
    <w:link w:val="FootnoteReference"/>
    <w:uiPriority w:val="99"/>
    <w:rsid w:val="00130050"/>
    <w:pPr>
      <w:spacing w:after="160" w:line="240" w:lineRule="exact"/>
    </w:pPr>
    <w:rPr>
      <w:rFonts w:asciiTheme="minorHAnsi" w:eastAsiaTheme="minorHAnsi" w:hAnsiTheme="minorHAnsi" w:cstheme="minorBidi"/>
      <w:sz w:val="22"/>
      <w:szCs w:val="22"/>
      <w:vertAlign w:val="superscript"/>
    </w:rPr>
  </w:style>
  <w:style w:type="paragraph" w:styleId="BodyText">
    <w:name w:val="Body Text"/>
    <w:basedOn w:val="Normal"/>
    <w:link w:val="BodyTextChar"/>
    <w:qFormat/>
    <w:rsid w:val="00130050"/>
    <w:pPr>
      <w:spacing w:after="120"/>
    </w:pPr>
  </w:style>
  <w:style w:type="character" w:customStyle="1" w:styleId="BodyTextChar">
    <w:name w:val="Body Text Char"/>
    <w:basedOn w:val="DefaultParagraphFont"/>
    <w:link w:val="BodyText"/>
    <w:rsid w:val="00130050"/>
    <w:rPr>
      <w:rFonts w:ascii="Times New Roman" w:eastAsia="Calibri" w:hAnsi="Times New Roman" w:cs="Times New Roman"/>
      <w:sz w:val="24"/>
      <w:szCs w:val="24"/>
      <w:lang w:val="sq-AL" w:eastAsia="sq-AL"/>
    </w:rPr>
  </w:style>
  <w:style w:type="paragraph" w:styleId="BodyText2">
    <w:name w:val="Body Text 2"/>
    <w:basedOn w:val="Normal"/>
    <w:link w:val="BodyText2Char"/>
    <w:rsid w:val="00130050"/>
    <w:pPr>
      <w:spacing w:after="120" w:line="480" w:lineRule="auto"/>
    </w:pPr>
  </w:style>
  <w:style w:type="character" w:customStyle="1" w:styleId="BodyText2Char">
    <w:name w:val="Body Text 2 Char"/>
    <w:basedOn w:val="DefaultParagraphFont"/>
    <w:link w:val="BodyText2"/>
    <w:rsid w:val="00130050"/>
    <w:rPr>
      <w:rFonts w:ascii="Times New Roman" w:eastAsia="Calibri" w:hAnsi="Times New Roman" w:cs="Times New Roman"/>
      <w:sz w:val="24"/>
      <w:szCs w:val="24"/>
      <w:lang w:val="sq-AL" w:eastAsia="sq-AL"/>
    </w:rPr>
  </w:style>
  <w:style w:type="character" w:customStyle="1" w:styleId="shorttext">
    <w:name w:val="short_text"/>
    <w:basedOn w:val="DefaultParagraphFont"/>
    <w:rsid w:val="00130050"/>
  </w:style>
  <w:style w:type="paragraph" w:styleId="TOC3">
    <w:name w:val="toc 3"/>
    <w:basedOn w:val="Normal"/>
    <w:next w:val="Normal"/>
    <w:autoRedefine/>
    <w:uiPriority w:val="39"/>
    <w:qFormat/>
    <w:rsid w:val="001815F3"/>
    <w:pPr>
      <w:spacing w:before="120" w:after="120"/>
    </w:pPr>
  </w:style>
  <w:style w:type="character" w:customStyle="1" w:styleId="apple-converted-space">
    <w:name w:val="apple-converted-space"/>
    <w:basedOn w:val="DefaultParagraphFont"/>
    <w:rsid w:val="00130050"/>
  </w:style>
  <w:style w:type="paragraph" w:styleId="TOCHeading">
    <w:name w:val="TOC Heading"/>
    <w:basedOn w:val="Heading1"/>
    <w:next w:val="Normal"/>
    <w:uiPriority w:val="39"/>
    <w:unhideWhenUsed/>
    <w:qFormat/>
    <w:rsid w:val="00130050"/>
    <w:pPr>
      <w:keepLines/>
      <w:spacing w:before="480" w:after="0" w:line="276" w:lineRule="auto"/>
      <w:outlineLvl w:val="9"/>
    </w:pPr>
    <w:rPr>
      <w:color w:val="365F91"/>
      <w:kern w:val="0"/>
      <w:sz w:val="28"/>
      <w:szCs w:val="28"/>
      <w:lang w:val="en-US" w:eastAsia="en-US"/>
    </w:rPr>
  </w:style>
  <w:style w:type="paragraph" w:styleId="EndnoteText">
    <w:name w:val="endnote text"/>
    <w:basedOn w:val="Normal"/>
    <w:link w:val="EndnoteTextChar"/>
    <w:rsid w:val="00130050"/>
    <w:rPr>
      <w:sz w:val="20"/>
      <w:szCs w:val="20"/>
    </w:rPr>
  </w:style>
  <w:style w:type="character" w:customStyle="1" w:styleId="EndnoteTextChar">
    <w:name w:val="Endnote Text Char"/>
    <w:basedOn w:val="DefaultParagraphFont"/>
    <w:link w:val="EndnoteText"/>
    <w:rsid w:val="00130050"/>
    <w:rPr>
      <w:rFonts w:ascii="Times New Roman" w:eastAsia="Calibri" w:hAnsi="Times New Roman" w:cs="Times New Roman"/>
      <w:sz w:val="20"/>
      <w:szCs w:val="20"/>
      <w:lang w:val="sq-AL" w:eastAsia="sq-AL"/>
    </w:rPr>
  </w:style>
  <w:style w:type="character" w:styleId="EndnoteReference">
    <w:name w:val="endnote reference"/>
    <w:rsid w:val="00130050"/>
    <w:rPr>
      <w:vertAlign w:val="superscript"/>
    </w:rPr>
  </w:style>
  <w:style w:type="paragraph" w:customStyle="1" w:styleId="Normal1">
    <w:name w:val="Normal1"/>
    <w:rsid w:val="009C564D"/>
    <w:pPr>
      <w:spacing w:after="0" w:line="240" w:lineRule="auto"/>
    </w:pPr>
    <w:rPr>
      <w:rFonts w:ascii="Times New Roman" w:eastAsia="Times New Roman" w:hAnsi="Times New Roman" w:cs="Times New Roman"/>
      <w:sz w:val="24"/>
      <w:szCs w:val="24"/>
    </w:rPr>
  </w:style>
  <w:style w:type="paragraph" w:customStyle="1" w:styleId="SingleTxtG">
    <w:name w:val="_ Single Txt_G"/>
    <w:basedOn w:val="Normal"/>
    <w:link w:val="SingleTxtGChar"/>
    <w:qFormat/>
    <w:rsid w:val="009C564D"/>
    <w:pPr>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eastAsia="en-US"/>
    </w:rPr>
  </w:style>
  <w:style w:type="character" w:customStyle="1" w:styleId="SingleTxtGChar">
    <w:name w:val="_ Single Txt_G Char"/>
    <w:link w:val="SingleTxtG"/>
    <w:locked/>
    <w:rsid w:val="009C564D"/>
    <w:rPr>
      <w:rFonts w:ascii="Times New Roman" w:hAnsi="Times New Roman" w:cs="Times New Roman"/>
      <w:sz w:val="20"/>
      <w:szCs w:val="20"/>
      <w:lang w:val="sq-AL"/>
    </w:rPr>
  </w:style>
  <w:style w:type="character" w:customStyle="1" w:styleId="oi732d6d">
    <w:name w:val="oi732d6d"/>
    <w:basedOn w:val="DefaultParagraphFont"/>
    <w:rsid w:val="009C564D"/>
  </w:style>
  <w:style w:type="character" w:styleId="Strong">
    <w:name w:val="Strong"/>
    <w:uiPriority w:val="22"/>
    <w:qFormat/>
    <w:rsid w:val="009C564D"/>
    <w:rPr>
      <w:b/>
      <w:bCs/>
    </w:rPr>
  </w:style>
  <w:style w:type="character" w:customStyle="1" w:styleId="NoSpacingChar">
    <w:name w:val="No Spacing Char"/>
    <w:link w:val="NoSpacing"/>
    <w:uiPriority w:val="1"/>
    <w:rsid w:val="00D043EF"/>
    <w:rPr>
      <w:rFonts w:ascii="Courier New" w:eastAsia="Courier New" w:hAnsi="Courier New" w:cs="Courier New"/>
      <w:color w:val="000000"/>
      <w:sz w:val="24"/>
      <w:szCs w:val="24"/>
      <w:lang w:val="sq-AL" w:eastAsia="sq-AL"/>
    </w:rPr>
  </w:style>
  <w:style w:type="character" w:customStyle="1" w:styleId="tlid-translation">
    <w:name w:val="tlid-translation"/>
    <w:basedOn w:val="DefaultParagraphFont"/>
    <w:rsid w:val="00F637A0"/>
  </w:style>
  <w:style w:type="paragraph" w:customStyle="1" w:styleId="H23G">
    <w:name w:val="_ H_2/3_G"/>
    <w:basedOn w:val="Normal"/>
    <w:next w:val="Normal"/>
    <w:qFormat/>
    <w:rsid w:val="00A56A4A"/>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lang w:eastAsia="en-US"/>
    </w:rPr>
  </w:style>
  <w:style w:type="paragraph" w:customStyle="1" w:styleId="Default">
    <w:name w:val="Default"/>
    <w:link w:val="DefaultChar"/>
    <w:qFormat/>
    <w:rsid w:val="00524B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 Char Char Char Char Char Car Zchn Zchn,4_G"/>
    <w:basedOn w:val="Normal"/>
    <w:uiPriority w:val="99"/>
    <w:rsid w:val="007A4CF0"/>
    <w:pPr>
      <w:spacing w:after="160" w:line="240" w:lineRule="exact"/>
    </w:pPr>
    <w:rPr>
      <w:rFonts w:ascii="Calibri" w:hAnsi="Calibri"/>
      <w:sz w:val="20"/>
      <w:szCs w:val="20"/>
      <w:vertAlign w:val="superscript"/>
      <w:lang w:val="en-US" w:eastAsia="en-US"/>
    </w:rPr>
  </w:style>
  <w:style w:type="character" w:customStyle="1" w:styleId="DefaultChar">
    <w:name w:val="Default Char"/>
    <w:link w:val="Default"/>
    <w:locked/>
    <w:rsid w:val="007A4CF0"/>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0D25D6"/>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rsid w:val="000D25D6"/>
    <w:rPr>
      <w:rFonts w:ascii="Calibri" w:eastAsia="Times New Roman" w:hAnsi="Calibri" w:cs="Times New Roman"/>
      <w:b/>
      <w:sz w:val="24"/>
      <w:szCs w:val="24"/>
      <w:lang w:val="en-GB"/>
    </w:rPr>
  </w:style>
  <w:style w:type="paragraph" w:styleId="Caption">
    <w:name w:val="caption"/>
    <w:basedOn w:val="Normal"/>
    <w:next w:val="Normal"/>
    <w:uiPriority w:val="35"/>
    <w:qFormat/>
    <w:rsid w:val="000D25D6"/>
    <w:rPr>
      <w:b/>
      <w:bCs/>
      <w:sz w:val="20"/>
      <w:szCs w:val="20"/>
    </w:rPr>
  </w:style>
  <w:style w:type="table" w:customStyle="1" w:styleId="TableGrid1">
    <w:name w:val="Table Grid1"/>
    <w:basedOn w:val="TableNormal"/>
    <w:next w:val="TableGrid"/>
    <w:uiPriority w:val="59"/>
    <w:rsid w:val="000D2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basedOn w:val="DefaultParagraphFont"/>
    <w:uiPriority w:val="99"/>
    <w:semiHidden/>
    <w:rsid w:val="000D25D6"/>
    <w:rPr>
      <w:rFonts w:ascii="Times New Roman" w:eastAsia="Calibri" w:hAnsi="Times New Roman" w:cs="Times New Roman"/>
      <w:sz w:val="24"/>
      <w:szCs w:val="24"/>
    </w:rPr>
  </w:style>
  <w:style w:type="table" w:customStyle="1" w:styleId="LightShading-Accent112">
    <w:name w:val="Light Shading - Accent 112"/>
    <w:basedOn w:val="TableNormal"/>
    <w:next w:val="TableNormal"/>
    <w:uiPriority w:val="60"/>
    <w:rsid w:val="000D25D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rsid w:val="000D25D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qlabel">
    <w:name w:val="qlabel"/>
    <w:basedOn w:val="DefaultParagraphFont"/>
    <w:rsid w:val="000D25D6"/>
  </w:style>
  <w:style w:type="paragraph" w:styleId="Bibliography">
    <w:name w:val="Bibliography"/>
    <w:basedOn w:val="Normal"/>
    <w:next w:val="Normal"/>
    <w:uiPriority w:val="37"/>
    <w:unhideWhenUsed/>
    <w:rsid w:val="000D25D6"/>
    <w:rPr>
      <w:lang w:val="en-US" w:eastAsia="en-US"/>
    </w:rPr>
  </w:style>
  <w:style w:type="paragraph" w:customStyle="1" w:styleId="MediumGrid1-Accent21">
    <w:name w:val="Medium Grid 1 - Accent 21"/>
    <w:basedOn w:val="Normal"/>
    <w:uiPriority w:val="34"/>
    <w:qFormat/>
    <w:rsid w:val="000D25D6"/>
    <w:pPr>
      <w:ind w:left="720"/>
      <w:contextualSpacing/>
    </w:pPr>
    <w:rPr>
      <w:lang w:val="en-US" w:eastAsia="en-US"/>
    </w:rPr>
  </w:style>
  <w:style w:type="paragraph" w:styleId="HTMLPreformatted">
    <w:name w:val="HTML Preformatted"/>
    <w:basedOn w:val="Normal"/>
    <w:link w:val="HTMLPreformattedChar"/>
    <w:uiPriority w:val="99"/>
    <w:unhideWhenUsed/>
    <w:rsid w:val="000D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0D25D6"/>
    <w:rPr>
      <w:rFonts w:ascii="Courier New" w:eastAsia="Times New Roman" w:hAnsi="Courier New" w:cs="Times New Roman"/>
      <w:sz w:val="20"/>
      <w:szCs w:val="20"/>
      <w:lang w:val="sq-AL" w:eastAsia="sq-AL"/>
    </w:rPr>
  </w:style>
  <w:style w:type="paragraph" w:customStyle="1" w:styleId="NoSpacing2">
    <w:name w:val="No Spacing2"/>
    <w:qFormat/>
    <w:rsid w:val="000D25D6"/>
    <w:rPr>
      <w:rFonts w:ascii="Times New Roman" w:eastAsia="Times New Roman" w:hAnsi="Times New Roman" w:cs="Times New Roman"/>
      <w:sz w:val="24"/>
      <w:szCs w:val="24"/>
    </w:rPr>
  </w:style>
  <w:style w:type="character" w:customStyle="1" w:styleId="longtext1">
    <w:name w:val="long_text1"/>
    <w:rsid w:val="000D25D6"/>
    <w:rPr>
      <w:sz w:val="20"/>
      <w:szCs w:val="20"/>
    </w:rPr>
  </w:style>
  <w:style w:type="character" w:customStyle="1" w:styleId="shorttext1">
    <w:name w:val="short_text1"/>
    <w:rsid w:val="000D25D6"/>
    <w:rPr>
      <w:sz w:val="29"/>
      <w:szCs w:val="29"/>
    </w:rPr>
  </w:style>
  <w:style w:type="table" w:customStyle="1" w:styleId="LightShading-Accent11">
    <w:name w:val="Light Shading - Accent 11"/>
    <w:basedOn w:val="TableNormal"/>
    <w:uiPriority w:val="60"/>
    <w:rsid w:val="008440A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FA2CE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viiyi">
    <w:name w:val="viiyi"/>
    <w:basedOn w:val="DefaultParagraphFont"/>
    <w:rsid w:val="00265721"/>
  </w:style>
  <w:style w:type="character" w:customStyle="1" w:styleId="jlqj4b">
    <w:name w:val="jlqj4b"/>
    <w:basedOn w:val="DefaultParagraphFont"/>
    <w:rsid w:val="00265721"/>
  </w:style>
  <w:style w:type="table" w:customStyle="1" w:styleId="TableGrid0">
    <w:name w:val="TableGrid"/>
    <w:rsid w:val="008627AB"/>
    <w:pPr>
      <w:spacing w:after="0" w:line="240" w:lineRule="auto"/>
    </w:pPr>
    <w:rPr>
      <w:rFonts w:eastAsiaTheme="minorEastAsia"/>
    </w:rPr>
    <w:tblPr>
      <w:tblCellMar>
        <w:top w:w="0" w:type="dxa"/>
        <w:left w:w="0" w:type="dxa"/>
        <w:bottom w:w="0" w:type="dxa"/>
        <w:right w:w="0" w:type="dxa"/>
      </w:tblCellMar>
    </w:tblPr>
  </w:style>
  <w:style w:type="table" w:customStyle="1" w:styleId="ListTable6ColorfulAccent3">
    <w:name w:val="List Table 6 Colorful Accent 3"/>
    <w:basedOn w:val="TableNormal"/>
    <w:uiPriority w:val="51"/>
    <w:rsid w:val="00F8199B"/>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
    <w:name w:val="Grid Table 2 Accent 3"/>
    <w:basedOn w:val="TableNormal"/>
    <w:uiPriority w:val="47"/>
    <w:rsid w:val="001A79E3"/>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7ColorfulAccent3">
    <w:name w:val="List Table 7 Colorful Accent 3"/>
    <w:basedOn w:val="TableNormal"/>
    <w:uiPriority w:val="52"/>
    <w:rsid w:val="001A79E3"/>
    <w:pPr>
      <w:spacing w:after="0" w:line="240" w:lineRule="auto"/>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Accent 3"/>
    <w:basedOn w:val="TableNormal"/>
    <w:uiPriority w:val="46"/>
    <w:rsid w:val="001A79E3"/>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44471097">
      <w:bodyDiv w:val="1"/>
      <w:marLeft w:val="0"/>
      <w:marRight w:val="0"/>
      <w:marTop w:val="0"/>
      <w:marBottom w:val="0"/>
      <w:divBdr>
        <w:top w:val="none" w:sz="0" w:space="0" w:color="auto"/>
        <w:left w:val="none" w:sz="0" w:space="0" w:color="auto"/>
        <w:bottom w:val="none" w:sz="0" w:space="0" w:color="auto"/>
        <w:right w:val="none" w:sz="0" w:space="0" w:color="auto"/>
      </w:divBdr>
    </w:div>
    <w:div w:id="155652117">
      <w:bodyDiv w:val="1"/>
      <w:marLeft w:val="0"/>
      <w:marRight w:val="0"/>
      <w:marTop w:val="0"/>
      <w:marBottom w:val="0"/>
      <w:divBdr>
        <w:top w:val="none" w:sz="0" w:space="0" w:color="auto"/>
        <w:left w:val="none" w:sz="0" w:space="0" w:color="auto"/>
        <w:bottom w:val="none" w:sz="0" w:space="0" w:color="auto"/>
        <w:right w:val="none" w:sz="0" w:space="0" w:color="auto"/>
      </w:divBdr>
    </w:div>
    <w:div w:id="178205106">
      <w:bodyDiv w:val="1"/>
      <w:marLeft w:val="0"/>
      <w:marRight w:val="0"/>
      <w:marTop w:val="0"/>
      <w:marBottom w:val="0"/>
      <w:divBdr>
        <w:top w:val="none" w:sz="0" w:space="0" w:color="auto"/>
        <w:left w:val="none" w:sz="0" w:space="0" w:color="auto"/>
        <w:bottom w:val="none" w:sz="0" w:space="0" w:color="auto"/>
        <w:right w:val="none" w:sz="0" w:space="0" w:color="auto"/>
      </w:divBdr>
    </w:div>
    <w:div w:id="195578660">
      <w:bodyDiv w:val="1"/>
      <w:marLeft w:val="0"/>
      <w:marRight w:val="0"/>
      <w:marTop w:val="0"/>
      <w:marBottom w:val="0"/>
      <w:divBdr>
        <w:top w:val="none" w:sz="0" w:space="0" w:color="auto"/>
        <w:left w:val="none" w:sz="0" w:space="0" w:color="auto"/>
        <w:bottom w:val="none" w:sz="0" w:space="0" w:color="auto"/>
        <w:right w:val="none" w:sz="0" w:space="0" w:color="auto"/>
      </w:divBdr>
    </w:div>
    <w:div w:id="257719283">
      <w:bodyDiv w:val="1"/>
      <w:marLeft w:val="0"/>
      <w:marRight w:val="0"/>
      <w:marTop w:val="0"/>
      <w:marBottom w:val="0"/>
      <w:divBdr>
        <w:top w:val="none" w:sz="0" w:space="0" w:color="auto"/>
        <w:left w:val="none" w:sz="0" w:space="0" w:color="auto"/>
        <w:bottom w:val="none" w:sz="0" w:space="0" w:color="auto"/>
        <w:right w:val="none" w:sz="0" w:space="0" w:color="auto"/>
      </w:divBdr>
    </w:div>
    <w:div w:id="303433025">
      <w:bodyDiv w:val="1"/>
      <w:marLeft w:val="0"/>
      <w:marRight w:val="0"/>
      <w:marTop w:val="0"/>
      <w:marBottom w:val="0"/>
      <w:divBdr>
        <w:top w:val="none" w:sz="0" w:space="0" w:color="auto"/>
        <w:left w:val="none" w:sz="0" w:space="0" w:color="auto"/>
        <w:bottom w:val="none" w:sz="0" w:space="0" w:color="auto"/>
        <w:right w:val="none" w:sz="0" w:space="0" w:color="auto"/>
      </w:divBdr>
    </w:div>
    <w:div w:id="403450707">
      <w:bodyDiv w:val="1"/>
      <w:marLeft w:val="0"/>
      <w:marRight w:val="0"/>
      <w:marTop w:val="0"/>
      <w:marBottom w:val="0"/>
      <w:divBdr>
        <w:top w:val="none" w:sz="0" w:space="0" w:color="auto"/>
        <w:left w:val="none" w:sz="0" w:space="0" w:color="auto"/>
        <w:bottom w:val="none" w:sz="0" w:space="0" w:color="auto"/>
        <w:right w:val="none" w:sz="0" w:space="0" w:color="auto"/>
      </w:divBdr>
    </w:div>
    <w:div w:id="432094660">
      <w:bodyDiv w:val="1"/>
      <w:marLeft w:val="0"/>
      <w:marRight w:val="0"/>
      <w:marTop w:val="0"/>
      <w:marBottom w:val="0"/>
      <w:divBdr>
        <w:top w:val="none" w:sz="0" w:space="0" w:color="auto"/>
        <w:left w:val="none" w:sz="0" w:space="0" w:color="auto"/>
        <w:bottom w:val="none" w:sz="0" w:space="0" w:color="auto"/>
        <w:right w:val="none" w:sz="0" w:space="0" w:color="auto"/>
      </w:divBdr>
    </w:div>
    <w:div w:id="434372763">
      <w:bodyDiv w:val="1"/>
      <w:marLeft w:val="0"/>
      <w:marRight w:val="0"/>
      <w:marTop w:val="0"/>
      <w:marBottom w:val="0"/>
      <w:divBdr>
        <w:top w:val="none" w:sz="0" w:space="0" w:color="auto"/>
        <w:left w:val="none" w:sz="0" w:space="0" w:color="auto"/>
        <w:bottom w:val="none" w:sz="0" w:space="0" w:color="auto"/>
        <w:right w:val="none" w:sz="0" w:space="0" w:color="auto"/>
      </w:divBdr>
    </w:div>
    <w:div w:id="440952449">
      <w:bodyDiv w:val="1"/>
      <w:marLeft w:val="0"/>
      <w:marRight w:val="0"/>
      <w:marTop w:val="0"/>
      <w:marBottom w:val="0"/>
      <w:divBdr>
        <w:top w:val="none" w:sz="0" w:space="0" w:color="auto"/>
        <w:left w:val="none" w:sz="0" w:space="0" w:color="auto"/>
        <w:bottom w:val="none" w:sz="0" w:space="0" w:color="auto"/>
        <w:right w:val="none" w:sz="0" w:space="0" w:color="auto"/>
      </w:divBdr>
    </w:div>
    <w:div w:id="481966775">
      <w:bodyDiv w:val="1"/>
      <w:marLeft w:val="0"/>
      <w:marRight w:val="0"/>
      <w:marTop w:val="0"/>
      <w:marBottom w:val="0"/>
      <w:divBdr>
        <w:top w:val="none" w:sz="0" w:space="0" w:color="auto"/>
        <w:left w:val="none" w:sz="0" w:space="0" w:color="auto"/>
        <w:bottom w:val="none" w:sz="0" w:space="0" w:color="auto"/>
        <w:right w:val="none" w:sz="0" w:space="0" w:color="auto"/>
      </w:divBdr>
      <w:divsChild>
        <w:div w:id="342519164">
          <w:marLeft w:val="547"/>
          <w:marRight w:val="0"/>
          <w:marTop w:val="0"/>
          <w:marBottom w:val="0"/>
          <w:divBdr>
            <w:top w:val="none" w:sz="0" w:space="0" w:color="auto"/>
            <w:left w:val="none" w:sz="0" w:space="0" w:color="auto"/>
            <w:bottom w:val="none" w:sz="0" w:space="0" w:color="auto"/>
            <w:right w:val="none" w:sz="0" w:space="0" w:color="auto"/>
          </w:divBdr>
        </w:div>
        <w:div w:id="1420059055">
          <w:marLeft w:val="547"/>
          <w:marRight w:val="0"/>
          <w:marTop w:val="0"/>
          <w:marBottom w:val="0"/>
          <w:divBdr>
            <w:top w:val="none" w:sz="0" w:space="0" w:color="auto"/>
            <w:left w:val="none" w:sz="0" w:space="0" w:color="auto"/>
            <w:bottom w:val="none" w:sz="0" w:space="0" w:color="auto"/>
            <w:right w:val="none" w:sz="0" w:space="0" w:color="auto"/>
          </w:divBdr>
        </w:div>
        <w:div w:id="1660304854">
          <w:marLeft w:val="547"/>
          <w:marRight w:val="0"/>
          <w:marTop w:val="0"/>
          <w:marBottom w:val="0"/>
          <w:divBdr>
            <w:top w:val="none" w:sz="0" w:space="0" w:color="auto"/>
            <w:left w:val="none" w:sz="0" w:space="0" w:color="auto"/>
            <w:bottom w:val="none" w:sz="0" w:space="0" w:color="auto"/>
            <w:right w:val="none" w:sz="0" w:space="0" w:color="auto"/>
          </w:divBdr>
        </w:div>
        <w:div w:id="1894153832">
          <w:marLeft w:val="547"/>
          <w:marRight w:val="0"/>
          <w:marTop w:val="0"/>
          <w:marBottom w:val="0"/>
          <w:divBdr>
            <w:top w:val="none" w:sz="0" w:space="0" w:color="auto"/>
            <w:left w:val="none" w:sz="0" w:space="0" w:color="auto"/>
            <w:bottom w:val="none" w:sz="0" w:space="0" w:color="auto"/>
            <w:right w:val="none" w:sz="0" w:space="0" w:color="auto"/>
          </w:divBdr>
        </w:div>
      </w:divsChild>
    </w:div>
    <w:div w:id="540556930">
      <w:bodyDiv w:val="1"/>
      <w:marLeft w:val="0"/>
      <w:marRight w:val="0"/>
      <w:marTop w:val="0"/>
      <w:marBottom w:val="0"/>
      <w:divBdr>
        <w:top w:val="none" w:sz="0" w:space="0" w:color="auto"/>
        <w:left w:val="none" w:sz="0" w:space="0" w:color="auto"/>
        <w:bottom w:val="none" w:sz="0" w:space="0" w:color="auto"/>
        <w:right w:val="none" w:sz="0" w:space="0" w:color="auto"/>
      </w:divBdr>
      <w:divsChild>
        <w:div w:id="1964653333">
          <w:marLeft w:val="360"/>
          <w:marRight w:val="0"/>
          <w:marTop w:val="200"/>
          <w:marBottom w:val="0"/>
          <w:divBdr>
            <w:top w:val="none" w:sz="0" w:space="0" w:color="auto"/>
            <w:left w:val="none" w:sz="0" w:space="0" w:color="auto"/>
            <w:bottom w:val="none" w:sz="0" w:space="0" w:color="auto"/>
            <w:right w:val="none" w:sz="0" w:space="0" w:color="auto"/>
          </w:divBdr>
        </w:div>
      </w:divsChild>
    </w:div>
    <w:div w:id="586813463">
      <w:bodyDiv w:val="1"/>
      <w:marLeft w:val="0"/>
      <w:marRight w:val="0"/>
      <w:marTop w:val="0"/>
      <w:marBottom w:val="0"/>
      <w:divBdr>
        <w:top w:val="none" w:sz="0" w:space="0" w:color="auto"/>
        <w:left w:val="none" w:sz="0" w:space="0" w:color="auto"/>
        <w:bottom w:val="none" w:sz="0" w:space="0" w:color="auto"/>
        <w:right w:val="none" w:sz="0" w:space="0" w:color="auto"/>
      </w:divBdr>
    </w:div>
    <w:div w:id="635178983">
      <w:bodyDiv w:val="1"/>
      <w:marLeft w:val="0"/>
      <w:marRight w:val="0"/>
      <w:marTop w:val="0"/>
      <w:marBottom w:val="0"/>
      <w:divBdr>
        <w:top w:val="none" w:sz="0" w:space="0" w:color="auto"/>
        <w:left w:val="none" w:sz="0" w:space="0" w:color="auto"/>
        <w:bottom w:val="none" w:sz="0" w:space="0" w:color="auto"/>
        <w:right w:val="none" w:sz="0" w:space="0" w:color="auto"/>
      </w:divBdr>
    </w:div>
    <w:div w:id="673993371">
      <w:bodyDiv w:val="1"/>
      <w:marLeft w:val="0"/>
      <w:marRight w:val="0"/>
      <w:marTop w:val="0"/>
      <w:marBottom w:val="0"/>
      <w:divBdr>
        <w:top w:val="none" w:sz="0" w:space="0" w:color="auto"/>
        <w:left w:val="none" w:sz="0" w:space="0" w:color="auto"/>
        <w:bottom w:val="none" w:sz="0" w:space="0" w:color="auto"/>
        <w:right w:val="none" w:sz="0" w:space="0" w:color="auto"/>
      </w:divBdr>
    </w:div>
    <w:div w:id="688415141">
      <w:bodyDiv w:val="1"/>
      <w:marLeft w:val="0"/>
      <w:marRight w:val="0"/>
      <w:marTop w:val="0"/>
      <w:marBottom w:val="0"/>
      <w:divBdr>
        <w:top w:val="none" w:sz="0" w:space="0" w:color="auto"/>
        <w:left w:val="none" w:sz="0" w:space="0" w:color="auto"/>
        <w:bottom w:val="none" w:sz="0" w:space="0" w:color="auto"/>
        <w:right w:val="none" w:sz="0" w:space="0" w:color="auto"/>
      </w:divBdr>
    </w:div>
    <w:div w:id="711266725">
      <w:bodyDiv w:val="1"/>
      <w:marLeft w:val="0"/>
      <w:marRight w:val="0"/>
      <w:marTop w:val="0"/>
      <w:marBottom w:val="0"/>
      <w:divBdr>
        <w:top w:val="none" w:sz="0" w:space="0" w:color="auto"/>
        <w:left w:val="none" w:sz="0" w:space="0" w:color="auto"/>
        <w:bottom w:val="none" w:sz="0" w:space="0" w:color="auto"/>
        <w:right w:val="none" w:sz="0" w:space="0" w:color="auto"/>
      </w:divBdr>
    </w:div>
    <w:div w:id="721173010">
      <w:bodyDiv w:val="1"/>
      <w:marLeft w:val="0"/>
      <w:marRight w:val="0"/>
      <w:marTop w:val="0"/>
      <w:marBottom w:val="0"/>
      <w:divBdr>
        <w:top w:val="none" w:sz="0" w:space="0" w:color="auto"/>
        <w:left w:val="none" w:sz="0" w:space="0" w:color="auto"/>
        <w:bottom w:val="none" w:sz="0" w:space="0" w:color="auto"/>
        <w:right w:val="none" w:sz="0" w:space="0" w:color="auto"/>
      </w:divBdr>
    </w:div>
    <w:div w:id="743644971">
      <w:bodyDiv w:val="1"/>
      <w:marLeft w:val="0"/>
      <w:marRight w:val="0"/>
      <w:marTop w:val="0"/>
      <w:marBottom w:val="0"/>
      <w:divBdr>
        <w:top w:val="none" w:sz="0" w:space="0" w:color="auto"/>
        <w:left w:val="none" w:sz="0" w:space="0" w:color="auto"/>
        <w:bottom w:val="none" w:sz="0" w:space="0" w:color="auto"/>
        <w:right w:val="none" w:sz="0" w:space="0" w:color="auto"/>
      </w:divBdr>
    </w:div>
    <w:div w:id="794057057">
      <w:bodyDiv w:val="1"/>
      <w:marLeft w:val="0"/>
      <w:marRight w:val="0"/>
      <w:marTop w:val="0"/>
      <w:marBottom w:val="0"/>
      <w:divBdr>
        <w:top w:val="none" w:sz="0" w:space="0" w:color="auto"/>
        <w:left w:val="none" w:sz="0" w:space="0" w:color="auto"/>
        <w:bottom w:val="none" w:sz="0" w:space="0" w:color="auto"/>
        <w:right w:val="none" w:sz="0" w:space="0" w:color="auto"/>
      </w:divBdr>
      <w:divsChild>
        <w:div w:id="1245411701">
          <w:marLeft w:val="547"/>
          <w:marRight w:val="0"/>
          <w:marTop w:val="0"/>
          <w:marBottom w:val="0"/>
          <w:divBdr>
            <w:top w:val="none" w:sz="0" w:space="0" w:color="auto"/>
            <w:left w:val="none" w:sz="0" w:space="0" w:color="auto"/>
            <w:bottom w:val="none" w:sz="0" w:space="0" w:color="auto"/>
            <w:right w:val="none" w:sz="0" w:space="0" w:color="auto"/>
          </w:divBdr>
        </w:div>
      </w:divsChild>
    </w:div>
    <w:div w:id="800538913">
      <w:bodyDiv w:val="1"/>
      <w:marLeft w:val="0"/>
      <w:marRight w:val="0"/>
      <w:marTop w:val="0"/>
      <w:marBottom w:val="0"/>
      <w:divBdr>
        <w:top w:val="none" w:sz="0" w:space="0" w:color="auto"/>
        <w:left w:val="none" w:sz="0" w:space="0" w:color="auto"/>
        <w:bottom w:val="none" w:sz="0" w:space="0" w:color="auto"/>
        <w:right w:val="none" w:sz="0" w:space="0" w:color="auto"/>
      </w:divBdr>
    </w:div>
    <w:div w:id="895975180">
      <w:bodyDiv w:val="1"/>
      <w:marLeft w:val="0"/>
      <w:marRight w:val="0"/>
      <w:marTop w:val="0"/>
      <w:marBottom w:val="0"/>
      <w:divBdr>
        <w:top w:val="none" w:sz="0" w:space="0" w:color="auto"/>
        <w:left w:val="none" w:sz="0" w:space="0" w:color="auto"/>
        <w:bottom w:val="none" w:sz="0" w:space="0" w:color="auto"/>
        <w:right w:val="none" w:sz="0" w:space="0" w:color="auto"/>
      </w:divBdr>
    </w:div>
    <w:div w:id="900674673">
      <w:bodyDiv w:val="1"/>
      <w:marLeft w:val="0"/>
      <w:marRight w:val="0"/>
      <w:marTop w:val="0"/>
      <w:marBottom w:val="0"/>
      <w:divBdr>
        <w:top w:val="none" w:sz="0" w:space="0" w:color="auto"/>
        <w:left w:val="none" w:sz="0" w:space="0" w:color="auto"/>
        <w:bottom w:val="none" w:sz="0" w:space="0" w:color="auto"/>
        <w:right w:val="none" w:sz="0" w:space="0" w:color="auto"/>
      </w:divBdr>
    </w:div>
    <w:div w:id="907806683">
      <w:bodyDiv w:val="1"/>
      <w:marLeft w:val="0"/>
      <w:marRight w:val="0"/>
      <w:marTop w:val="0"/>
      <w:marBottom w:val="0"/>
      <w:divBdr>
        <w:top w:val="none" w:sz="0" w:space="0" w:color="auto"/>
        <w:left w:val="none" w:sz="0" w:space="0" w:color="auto"/>
        <w:bottom w:val="none" w:sz="0" w:space="0" w:color="auto"/>
        <w:right w:val="none" w:sz="0" w:space="0" w:color="auto"/>
      </w:divBdr>
    </w:div>
    <w:div w:id="929387914">
      <w:bodyDiv w:val="1"/>
      <w:marLeft w:val="0"/>
      <w:marRight w:val="0"/>
      <w:marTop w:val="0"/>
      <w:marBottom w:val="0"/>
      <w:divBdr>
        <w:top w:val="none" w:sz="0" w:space="0" w:color="auto"/>
        <w:left w:val="none" w:sz="0" w:space="0" w:color="auto"/>
        <w:bottom w:val="none" w:sz="0" w:space="0" w:color="auto"/>
        <w:right w:val="none" w:sz="0" w:space="0" w:color="auto"/>
      </w:divBdr>
    </w:div>
    <w:div w:id="1072003922">
      <w:bodyDiv w:val="1"/>
      <w:marLeft w:val="0"/>
      <w:marRight w:val="0"/>
      <w:marTop w:val="0"/>
      <w:marBottom w:val="0"/>
      <w:divBdr>
        <w:top w:val="none" w:sz="0" w:space="0" w:color="auto"/>
        <w:left w:val="none" w:sz="0" w:space="0" w:color="auto"/>
        <w:bottom w:val="none" w:sz="0" w:space="0" w:color="auto"/>
        <w:right w:val="none" w:sz="0" w:space="0" w:color="auto"/>
      </w:divBdr>
    </w:div>
    <w:div w:id="1088188284">
      <w:bodyDiv w:val="1"/>
      <w:marLeft w:val="0"/>
      <w:marRight w:val="0"/>
      <w:marTop w:val="0"/>
      <w:marBottom w:val="0"/>
      <w:divBdr>
        <w:top w:val="none" w:sz="0" w:space="0" w:color="auto"/>
        <w:left w:val="none" w:sz="0" w:space="0" w:color="auto"/>
        <w:bottom w:val="none" w:sz="0" w:space="0" w:color="auto"/>
        <w:right w:val="none" w:sz="0" w:space="0" w:color="auto"/>
      </w:divBdr>
    </w:div>
    <w:div w:id="1092236671">
      <w:bodyDiv w:val="1"/>
      <w:marLeft w:val="0"/>
      <w:marRight w:val="0"/>
      <w:marTop w:val="0"/>
      <w:marBottom w:val="0"/>
      <w:divBdr>
        <w:top w:val="none" w:sz="0" w:space="0" w:color="auto"/>
        <w:left w:val="none" w:sz="0" w:space="0" w:color="auto"/>
        <w:bottom w:val="none" w:sz="0" w:space="0" w:color="auto"/>
        <w:right w:val="none" w:sz="0" w:space="0" w:color="auto"/>
      </w:divBdr>
    </w:div>
    <w:div w:id="1151362869">
      <w:bodyDiv w:val="1"/>
      <w:marLeft w:val="0"/>
      <w:marRight w:val="0"/>
      <w:marTop w:val="0"/>
      <w:marBottom w:val="0"/>
      <w:divBdr>
        <w:top w:val="none" w:sz="0" w:space="0" w:color="auto"/>
        <w:left w:val="none" w:sz="0" w:space="0" w:color="auto"/>
        <w:bottom w:val="none" w:sz="0" w:space="0" w:color="auto"/>
        <w:right w:val="none" w:sz="0" w:space="0" w:color="auto"/>
      </w:divBdr>
    </w:div>
    <w:div w:id="1153594999">
      <w:bodyDiv w:val="1"/>
      <w:marLeft w:val="0"/>
      <w:marRight w:val="0"/>
      <w:marTop w:val="0"/>
      <w:marBottom w:val="0"/>
      <w:divBdr>
        <w:top w:val="none" w:sz="0" w:space="0" w:color="auto"/>
        <w:left w:val="none" w:sz="0" w:space="0" w:color="auto"/>
        <w:bottom w:val="none" w:sz="0" w:space="0" w:color="auto"/>
        <w:right w:val="none" w:sz="0" w:space="0" w:color="auto"/>
      </w:divBdr>
      <w:divsChild>
        <w:div w:id="453671185">
          <w:marLeft w:val="0"/>
          <w:marRight w:val="0"/>
          <w:marTop w:val="0"/>
          <w:marBottom w:val="0"/>
          <w:divBdr>
            <w:top w:val="none" w:sz="0" w:space="0" w:color="auto"/>
            <w:left w:val="none" w:sz="0" w:space="0" w:color="auto"/>
            <w:bottom w:val="none" w:sz="0" w:space="0" w:color="auto"/>
            <w:right w:val="none" w:sz="0" w:space="0" w:color="auto"/>
          </w:divBdr>
        </w:div>
        <w:div w:id="624698921">
          <w:marLeft w:val="0"/>
          <w:marRight w:val="0"/>
          <w:marTop w:val="0"/>
          <w:marBottom w:val="0"/>
          <w:divBdr>
            <w:top w:val="none" w:sz="0" w:space="0" w:color="auto"/>
            <w:left w:val="none" w:sz="0" w:space="0" w:color="auto"/>
            <w:bottom w:val="none" w:sz="0" w:space="0" w:color="auto"/>
            <w:right w:val="none" w:sz="0" w:space="0" w:color="auto"/>
          </w:divBdr>
        </w:div>
        <w:div w:id="1943418834">
          <w:marLeft w:val="0"/>
          <w:marRight w:val="0"/>
          <w:marTop w:val="0"/>
          <w:marBottom w:val="0"/>
          <w:divBdr>
            <w:top w:val="none" w:sz="0" w:space="0" w:color="auto"/>
            <w:left w:val="none" w:sz="0" w:space="0" w:color="auto"/>
            <w:bottom w:val="none" w:sz="0" w:space="0" w:color="auto"/>
            <w:right w:val="none" w:sz="0" w:space="0" w:color="auto"/>
          </w:divBdr>
        </w:div>
        <w:div w:id="66807564">
          <w:marLeft w:val="0"/>
          <w:marRight w:val="0"/>
          <w:marTop w:val="0"/>
          <w:marBottom w:val="0"/>
          <w:divBdr>
            <w:top w:val="none" w:sz="0" w:space="0" w:color="auto"/>
            <w:left w:val="none" w:sz="0" w:space="0" w:color="auto"/>
            <w:bottom w:val="none" w:sz="0" w:space="0" w:color="auto"/>
            <w:right w:val="none" w:sz="0" w:space="0" w:color="auto"/>
          </w:divBdr>
        </w:div>
        <w:div w:id="1466897801">
          <w:marLeft w:val="0"/>
          <w:marRight w:val="0"/>
          <w:marTop w:val="0"/>
          <w:marBottom w:val="0"/>
          <w:divBdr>
            <w:top w:val="none" w:sz="0" w:space="0" w:color="auto"/>
            <w:left w:val="none" w:sz="0" w:space="0" w:color="auto"/>
            <w:bottom w:val="none" w:sz="0" w:space="0" w:color="auto"/>
            <w:right w:val="none" w:sz="0" w:space="0" w:color="auto"/>
          </w:divBdr>
        </w:div>
        <w:div w:id="643120919">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157303485">
      <w:bodyDiv w:val="1"/>
      <w:marLeft w:val="0"/>
      <w:marRight w:val="0"/>
      <w:marTop w:val="0"/>
      <w:marBottom w:val="0"/>
      <w:divBdr>
        <w:top w:val="none" w:sz="0" w:space="0" w:color="auto"/>
        <w:left w:val="none" w:sz="0" w:space="0" w:color="auto"/>
        <w:bottom w:val="none" w:sz="0" w:space="0" w:color="auto"/>
        <w:right w:val="none" w:sz="0" w:space="0" w:color="auto"/>
      </w:divBdr>
      <w:divsChild>
        <w:div w:id="589116751">
          <w:marLeft w:val="0"/>
          <w:marRight w:val="0"/>
          <w:marTop w:val="0"/>
          <w:marBottom w:val="0"/>
          <w:divBdr>
            <w:top w:val="none" w:sz="0" w:space="0" w:color="auto"/>
            <w:left w:val="none" w:sz="0" w:space="0" w:color="auto"/>
            <w:bottom w:val="none" w:sz="0" w:space="0" w:color="auto"/>
            <w:right w:val="none" w:sz="0" w:space="0" w:color="auto"/>
          </w:divBdr>
        </w:div>
        <w:div w:id="660156488">
          <w:marLeft w:val="0"/>
          <w:marRight w:val="0"/>
          <w:marTop w:val="0"/>
          <w:marBottom w:val="0"/>
          <w:divBdr>
            <w:top w:val="none" w:sz="0" w:space="0" w:color="auto"/>
            <w:left w:val="none" w:sz="0" w:space="0" w:color="auto"/>
            <w:bottom w:val="none" w:sz="0" w:space="0" w:color="auto"/>
            <w:right w:val="none" w:sz="0" w:space="0" w:color="auto"/>
          </w:divBdr>
        </w:div>
        <w:div w:id="1283415369">
          <w:marLeft w:val="0"/>
          <w:marRight w:val="0"/>
          <w:marTop w:val="0"/>
          <w:marBottom w:val="0"/>
          <w:divBdr>
            <w:top w:val="none" w:sz="0" w:space="0" w:color="auto"/>
            <w:left w:val="none" w:sz="0" w:space="0" w:color="auto"/>
            <w:bottom w:val="none" w:sz="0" w:space="0" w:color="auto"/>
            <w:right w:val="none" w:sz="0" w:space="0" w:color="auto"/>
          </w:divBdr>
        </w:div>
        <w:div w:id="1324428836">
          <w:marLeft w:val="0"/>
          <w:marRight w:val="0"/>
          <w:marTop w:val="0"/>
          <w:marBottom w:val="0"/>
          <w:divBdr>
            <w:top w:val="none" w:sz="0" w:space="0" w:color="auto"/>
            <w:left w:val="none" w:sz="0" w:space="0" w:color="auto"/>
            <w:bottom w:val="none" w:sz="0" w:space="0" w:color="auto"/>
            <w:right w:val="none" w:sz="0" w:space="0" w:color="auto"/>
          </w:divBdr>
        </w:div>
        <w:div w:id="733163378">
          <w:marLeft w:val="0"/>
          <w:marRight w:val="0"/>
          <w:marTop w:val="0"/>
          <w:marBottom w:val="0"/>
          <w:divBdr>
            <w:top w:val="none" w:sz="0" w:space="0" w:color="auto"/>
            <w:left w:val="none" w:sz="0" w:space="0" w:color="auto"/>
            <w:bottom w:val="none" w:sz="0" w:space="0" w:color="auto"/>
            <w:right w:val="none" w:sz="0" w:space="0" w:color="auto"/>
          </w:divBdr>
        </w:div>
        <w:div w:id="873888489">
          <w:marLeft w:val="0"/>
          <w:marRight w:val="0"/>
          <w:marTop w:val="0"/>
          <w:marBottom w:val="0"/>
          <w:divBdr>
            <w:top w:val="none" w:sz="0" w:space="0" w:color="auto"/>
            <w:left w:val="none" w:sz="0" w:space="0" w:color="auto"/>
            <w:bottom w:val="none" w:sz="0" w:space="0" w:color="auto"/>
            <w:right w:val="none" w:sz="0" w:space="0" w:color="auto"/>
          </w:divBdr>
        </w:div>
        <w:div w:id="1843082828">
          <w:marLeft w:val="0"/>
          <w:marRight w:val="0"/>
          <w:marTop w:val="0"/>
          <w:marBottom w:val="0"/>
          <w:divBdr>
            <w:top w:val="none" w:sz="0" w:space="0" w:color="auto"/>
            <w:left w:val="none" w:sz="0" w:space="0" w:color="auto"/>
            <w:bottom w:val="none" w:sz="0" w:space="0" w:color="auto"/>
            <w:right w:val="none" w:sz="0" w:space="0" w:color="auto"/>
          </w:divBdr>
        </w:div>
        <w:div w:id="144006981">
          <w:marLeft w:val="0"/>
          <w:marRight w:val="0"/>
          <w:marTop w:val="0"/>
          <w:marBottom w:val="0"/>
          <w:divBdr>
            <w:top w:val="none" w:sz="0" w:space="0" w:color="auto"/>
            <w:left w:val="none" w:sz="0" w:space="0" w:color="auto"/>
            <w:bottom w:val="none" w:sz="0" w:space="0" w:color="auto"/>
            <w:right w:val="none" w:sz="0" w:space="0" w:color="auto"/>
          </w:divBdr>
        </w:div>
        <w:div w:id="1877884000">
          <w:marLeft w:val="0"/>
          <w:marRight w:val="0"/>
          <w:marTop w:val="0"/>
          <w:marBottom w:val="0"/>
          <w:divBdr>
            <w:top w:val="none" w:sz="0" w:space="0" w:color="auto"/>
            <w:left w:val="none" w:sz="0" w:space="0" w:color="auto"/>
            <w:bottom w:val="none" w:sz="0" w:space="0" w:color="auto"/>
            <w:right w:val="none" w:sz="0" w:space="0" w:color="auto"/>
          </w:divBdr>
        </w:div>
      </w:divsChild>
    </w:div>
    <w:div w:id="1326979876">
      <w:bodyDiv w:val="1"/>
      <w:marLeft w:val="0"/>
      <w:marRight w:val="0"/>
      <w:marTop w:val="0"/>
      <w:marBottom w:val="0"/>
      <w:divBdr>
        <w:top w:val="none" w:sz="0" w:space="0" w:color="auto"/>
        <w:left w:val="none" w:sz="0" w:space="0" w:color="auto"/>
        <w:bottom w:val="none" w:sz="0" w:space="0" w:color="auto"/>
        <w:right w:val="none" w:sz="0" w:space="0" w:color="auto"/>
      </w:divBdr>
    </w:div>
    <w:div w:id="1327900701">
      <w:bodyDiv w:val="1"/>
      <w:marLeft w:val="0"/>
      <w:marRight w:val="0"/>
      <w:marTop w:val="0"/>
      <w:marBottom w:val="0"/>
      <w:divBdr>
        <w:top w:val="none" w:sz="0" w:space="0" w:color="auto"/>
        <w:left w:val="none" w:sz="0" w:space="0" w:color="auto"/>
        <w:bottom w:val="none" w:sz="0" w:space="0" w:color="auto"/>
        <w:right w:val="none" w:sz="0" w:space="0" w:color="auto"/>
      </w:divBdr>
    </w:div>
    <w:div w:id="1347517259">
      <w:bodyDiv w:val="1"/>
      <w:marLeft w:val="0"/>
      <w:marRight w:val="0"/>
      <w:marTop w:val="0"/>
      <w:marBottom w:val="0"/>
      <w:divBdr>
        <w:top w:val="none" w:sz="0" w:space="0" w:color="auto"/>
        <w:left w:val="none" w:sz="0" w:space="0" w:color="auto"/>
        <w:bottom w:val="none" w:sz="0" w:space="0" w:color="auto"/>
        <w:right w:val="none" w:sz="0" w:space="0" w:color="auto"/>
      </w:divBdr>
    </w:div>
    <w:div w:id="1348944298">
      <w:bodyDiv w:val="1"/>
      <w:marLeft w:val="0"/>
      <w:marRight w:val="0"/>
      <w:marTop w:val="0"/>
      <w:marBottom w:val="0"/>
      <w:divBdr>
        <w:top w:val="none" w:sz="0" w:space="0" w:color="auto"/>
        <w:left w:val="none" w:sz="0" w:space="0" w:color="auto"/>
        <w:bottom w:val="none" w:sz="0" w:space="0" w:color="auto"/>
        <w:right w:val="none" w:sz="0" w:space="0" w:color="auto"/>
      </w:divBdr>
    </w:div>
    <w:div w:id="1542089948">
      <w:bodyDiv w:val="1"/>
      <w:marLeft w:val="0"/>
      <w:marRight w:val="0"/>
      <w:marTop w:val="0"/>
      <w:marBottom w:val="0"/>
      <w:divBdr>
        <w:top w:val="none" w:sz="0" w:space="0" w:color="auto"/>
        <w:left w:val="none" w:sz="0" w:space="0" w:color="auto"/>
        <w:bottom w:val="none" w:sz="0" w:space="0" w:color="auto"/>
        <w:right w:val="none" w:sz="0" w:space="0" w:color="auto"/>
      </w:divBdr>
    </w:div>
    <w:div w:id="1543904054">
      <w:bodyDiv w:val="1"/>
      <w:marLeft w:val="0"/>
      <w:marRight w:val="0"/>
      <w:marTop w:val="0"/>
      <w:marBottom w:val="0"/>
      <w:divBdr>
        <w:top w:val="none" w:sz="0" w:space="0" w:color="auto"/>
        <w:left w:val="none" w:sz="0" w:space="0" w:color="auto"/>
        <w:bottom w:val="none" w:sz="0" w:space="0" w:color="auto"/>
        <w:right w:val="none" w:sz="0" w:space="0" w:color="auto"/>
      </w:divBdr>
    </w:div>
    <w:div w:id="1556433751">
      <w:bodyDiv w:val="1"/>
      <w:marLeft w:val="0"/>
      <w:marRight w:val="0"/>
      <w:marTop w:val="0"/>
      <w:marBottom w:val="0"/>
      <w:divBdr>
        <w:top w:val="none" w:sz="0" w:space="0" w:color="auto"/>
        <w:left w:val="none" w:sz="0" w:space="0" w:color="auto"/>
        <w:bottom w:val="none" w:sz="0" w:space="0" w:color="auto"/>
        <w:right w:val="none" w:sz="0" w:space="0" w:color="auto"/>
      </w:divBdr>
    </w:div>
    <w:div w:id="1586304682">
      <w:bodyDiv w:val="1"/>
      <w:marLeft w:val="0"/>
      <w:marRight w:val="0"/>
      <w:marTop w:val="0"/>
      <w:marBottom w:val="0"/>
      <w:divBdr>
        <w:top w:val="none" w:sz="0" w:space="0" w:color="auto"/>
        <w:left w:val="none" w:sz="0" w:space="0" w:color="auto"/>
        <w:bottom w:val="none" w:sz="0" w:space="0" w:color="auto"/>
        <w:right w:val="none" w:sz="0" w:space="0" w:color="auto"/>
      </w:divBdr>
    </w:div>
    <w:div w:id="1608270356">
      <w:bodyDiv w:val="1"/>
      <w:marLeft w:val="0"/>
      <w:marRight w:val="0"/>
      <w:marTop w:val="0"/>
      <w:marBottom w:val="0"/>
      <w:divBdr>
        <w:top w:val="none" w:sz="0" w:space="0" w:color="auto"/>
        <w:left w:val="none" w:sz="0" w:space="0" w:color="auto"/>
        <w:bottom w:val="none" w:sz="0" w:space="0" w:color="auto"/>
        <w:right w:val="none" w:sz="0" w:space="0" w:color="auto"/>
      </w:divBdr>
    </w:div>
    <w:div w:id="1618679612">
      <w:bodyDiv w:val="1"/>
      <w:marLeft w:val="0"/>
      <w:marRight w:val="0"/>
      <w:marTop w:val="0"/>
      <w:marBottom w:val="0"/>
      <w:divBdr>
        <w:top w:val="none" w:sz="0" w:space="0" w:color="auto"/>
        <w:left w:val="none" w:sz="0" w:space="0" w:color="auto"/>
        <w:bottom w:val="none" w:sz="0" w:space="0" w:color="auto"/>
        <w:right w:val="none" w:sz="0" w:space="0" w:color="auto"/>
      </w:divBdr>
    </w:div>
    <w:div w:id="1627348734">
      <w:bodyDiv w:val="1"/>
      <w:marLeft w:val="0"/>
      <w:marRight w:val="0"/>
      <w:marTop w:val="0"/>
      <w:marBottom w:val="0"/>
      <w:divBdr>
        <w:top w:val="none" w:sz="0" w:space="0" w:color="auto"/>
        <w:left w:val="none" w:sz="0" w:space="0" w:color="auto"/>
        <w:bottom w:val="none" w:sz="0" w:space="0" w:color="auto"/>
        <w:right w:val="none" w:sz="0" w:space="0" w:color="auto"/>
      </w:divBdr>
    </w:div>
    <w:div w:id="1656836985">
      <w:bodyDiv w:val="1"/>
      <w:marLeft w:val="0"/>
      <w:marRight w:val="0"/>
      <w:marTop w:val="0"/>
      <w:marBottom w:val="0"/>
      <w:divBdr>
        <w:top w:val="none" w:sz="0" w:space="0" w:color="auto"/>
        <w:left w:val="none" w:sz="0" w:space="0" w:color="auto"/>
        <w:bottom w:val="none" w:sz="0" w:space="0" w:color="auto"/>
        <w:right w:val="none" w:sz="0" w:space="0" w:color="auto"/>
      </w:divBdr>
    </w:div>
    <w:div w:id="1691102323">
      <w:bodyDiv w:val="1"/>
      <w:marLeft w:val="0"/>
      <w:marRight w:val="0"/>
      <w:marTop w:val="0"/>
      <w:marBottom w:val="0"/>
      <w:divBdr>
        <w:top w:val="none" w:sz="0" w:space="0" w:color="auto"/>
        <w:left w:val="none" w:sz="0" w:space="0" w:color="auto"/>
        <w:bottom w:val="none" w:sz="0" w:space="0" w:color="auto"/>
        <w:right w:val="none" w:sz="0" w:space="0" w:color="auto"/>
      </w:divBdr>
    </w:div>
    <w:div w:id="1773360362">
      <w:bodyDiv w:val="1"/>
      <w:marLeft w:val="0"/>
      <w:marRight w:val="0"/>
      <w:marTop w:val="0"/>
      <w:marBottom w:val="0"/>
      <w:divBdr>
        <w:top w:val="none" w:sz="0" w:space="0" w:color="auto"/>
        <w:left w:val="none" w:sz="0" w:space="0" w:color="auto"/>
        <w:bottom w:val="none" w:sz="0" w:space="0" w:color="auto"/>
        <w:right w:val="none" w:sz="0" w:space="0" w:color="auto"/>
      </w:divBdr>
    </w:div>
    <w:div w:id="1791316803">
      <w:bodyDiv w:val="1"/>
      <w:marLeft w:val="0"/>
      <w:marRight w:val="0"/>
      <w:marTop w:val="0"/>
      <w:marBottom w:val="0"/>
      <w:divBdr>
        <w:top w:val="none" w:sz="0" w:space="0" w:color="auto"/>
        <w:left w:val="none" w:sz="0" w:space="0" w:color="auto"/>
        <w:bottom w:val="none" w:sz="0" w:space="0" w:color="auto"/>
        <w:right w:val="none" w:sz="0" w:space="0" w:color="auto"/>
      </w:divBdr>
    </w:div>
    <w:div w:id="1973175826">
      <w:bodyDiv w:val="1"/>
      <w:marLeft w:val="0"/>
      <w:marRight w:val="0"/>
      <w:marTop w:val="0"/>
      <w:marBottom w:val="0"/>
      <w:divBdr>
        <w:top w:val="none" w:sz="0" w:space="0" w:color="auto"/>
        <w:left w:val="none" w:sz="0" w:space="0" w:color="auto"/>
        <w:bottom w:val="none" w:sz="0" w:space="0" w:color="auto"/>
        <w:right w:val="none" w:sz="0" w:space="0" w:color="auto"/>
      </w:divBdr>
    </w:div>
    <w:div w:id="1978409520">
      <w:bodyDiv w:val="1"/>
      <w:marLeft w:val="0"/>
      <w:marRight w:val="0"/>
      <w:marTop w:val="0"/>
      <w:marBottom w:val="0"/>
      <w:divBdr>
        <w:top w:val="none" w:sz="0" w:space="0" w:color="auto"/>
        <w:left w:val="none" w:sz="0" w:space="0" w:color="auto"/>
        <w:bottom w:val="none" w:sz="0" w:space="0" w:color="auto"/>
        <w:right w:val="none" w:sz="0" w:space="0" w:color="auto"/>
      </w:divBdr>
    </w:div>
    <w:div w:id="2000886216">
      <w:bodyDiv w:val="1"/>
      <w:marLeft w:val="0"/>
      <w:marRight w:val="0"/>
      <w:marTop w:val="0"/>
      <w:marBottom w:val="0"/>
      <w:divBdr>
        <w:top w:val="none" w:sz="0" w:space="0" w:color="auto"/>
        <w:left w:val="none" w:sz="0" w:space="0" w:color="auto"/>
        <w:bottom w:val="none" w:sz="0" w:space="0" w:color="auto"/>
        <w:right w:val="none" w:sz="0" w:space="0" w:color="auto"/>
      </w:divBdr>
    </w:div>
    <w:div w:id="2108185877">
      <w:bodyDiv w:val="1"/>
      <w:marLeft w:val="0"/>
      <w:marRight w:val="0"/>
      <w:marTop w:val="0"/>
      <w:marBottom w:val="0"/>
      <w:divBdr>
        <w:top w:val="none" w:sz="0" w:space="0" w:color="auto"/>
        <w:left w:val="none" w:sz="0" w:space="0" w:color="auto"/>
        <w:bottom w:val="none" w:sz="0" w:space="0" w:color="auto"/>
        <w:right w:val="none" w:sz="0" w:space="0" w:color="auto"/>
      </w:divBdr>
      <w:divsChild>
        <w:div w:id="1795782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ainbow-europe.org/sites/default/files/annual-report/Annual-Review-Full-2021.pdf" TargetMode="External"/><Relationship Id="rId13" Type="http://schemas.openxmlformats.org/officeDocument/2006/relationships/hyperlink" Target="https://scholars.org/contribution/affirmation-way-understand-and-create-safe-spaces-all-people" TargetMode="External"/><Relationship Id="rId3" Type="http://schemas.openxmlformats.org/officeDocument/2006/relationships/hyperlink" Target="https://sustainabledevelopment.un.org/content/documents/21252030%20Agenda%20for%20Sustainable%20Development%20web.pdf" TargetMode="External"/><Relationship Id="rId7" Type="http://schemas.openxmlformats.org/officeDocument/2006/relationships/hyperlink" Target="https://ec.europa.eu/neighbourhood-enlargement/sites/default/files/albania_report_2020.pdf" TargetMode="External"/><Relationship Id="rId12" Type="http://schemas.openxmlformats.org/officeDocument/2006/relationships/hyperlink" Target="https://www.uart.edu.al/media/150329-Ligji%2010221_%202010%20per%20mbrojtjen%20nga%20%20diskriminimi.pdf" TargetMode="External"/><Relationship Id="rId2" Type="http://schemas.openxmlformats.org/officeDocument/2006/relationships/hyperlink" Target="https://sdgs.un.org/goals" TargetMode="External"/><Relationship Id="rId1" Type="http://schemas.openxmlformats.org/officeDocument/2006/relationships/hyperlink" Target="https://kryeministria.al/wp-content/uploads/2017/11/PROGRAMI.pdf" TargetMode="External"/><Relationship Id="rId6" Type="http://schemas.openxmlformats.org/officeDocument/2006/relationships/hyperlink" Target="https://rm.coe.int/report-on-albania-6th-monitoring-cycle-translation-in-albanian-/16809e8240" TargetMode="External"/><Relationship Id="rId11" Type="http://schemas.openxmlformats.org/officeDocument/2006/relationships/hyperlink" Target="https://www.ohchr.org/EN/HRBodies/UPR/Pages/ALIndex.aspx" TargetMode="External"/><Relationship Id="rId5" Type="http://schemas.openxmlformats.org/officeDocument/2006/relationships/hyperlink" Target="https://www.ohchr.org/EN/HRBodies/UPR/Pages/ALIndex.aspx" TargetMode="External"/><Relationship Id="rId10" Type="http://schemas.openxmlformats.org/officeDocument/2006/relationships/hyperlink" Target="https://ec.europa.eu/neighbourhood-enlargement/sites/default/files/albania_report_2020.pdf" TargetMode="External"/><Relationship Id="rId4" Type="http://schemas.openxmlformats.org/officeDocument/2006/relationships/hyperlink" Target="https://ec.europa.eu/info/policies/justice-and-fundamental-rights/combatting-discrimination/lesbian-gay-bi-trans-and-intersex-equality/lgbtiq-equality-strategy-2020-2025_en" TargetMode="External"/><Relationship Id="rId9" Type="http://schemas.openxmlformats.org/officeDocument/2006/relationships/hyperlink" Target="https://rm.coe.int/report-on-albania-6th-monitoring-cycle-translation-in-albanian-/16809e824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bana\Desktop\Budget%20draft%2004%2008%202021\Ripunimi\AA%2012%2008%202021\LGBIT%20KOSTO\2%20Format%20II_%20Plani%20i%20Veprimit%20Metodologjia%20e%20%20Kostimit_IPSIS%20Standart%20LGBIT%20Draft%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bana\Desktop\Budget%20draft%2004%2008%202021\Ripunimi\AA%2012%2008%202021\LGBIT%20KOSTO\2%20Format%20II_%20Plani%20i%20Veprimit%20Metodologjia%20e%20%20Kostimit_IPSIS%20Standart%20LGBIT%20Draft%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bana\Desktop\Budget%20draft%2004%2008%202021\Ripunimi\AA%2012%2008%202021\LGBIT%20KOSTO\2%20Format%20II_%20Plani%20i%20Veprimit%20Metodologjia%20e%20%20Kostimit_IPSIS%20Standart%20LGBIT%20Draft%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Arial Black" panose="020B0A04020102020204" pitchFamily="34" charset="0"/>
              </a:rPr>
              <a:t>NDARJA E SHPENZIMEVE</a:t>
            </a:r>
          </a:p>
        </c:rich>
      </c:tx>
      <c:spPr>
        <a:noFill/>
        <a:ln w="25400">
          <a:noFill/>
        </a:ln>
      </c:spPr>
    </c:title>
    <c:plotArea>
      <c:layout>
        <c:manualLayout>
          <c:layoutTarget val="inner"/>
          <c:xMode val="edge"/>
          <c:yMode val="edge"/>
          <c:x val="0.25440140845070419"/>
          <c:y val="0.18090452261306531"/>
          <c:w val="0.49031690140845507"/>
          <c:h val="0.69974874371859963"/>
        </c:manualLayout>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B252-4847-A2CF-BCFDC60A15B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B252-4847-A2CF-BCFDC60A15B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B252-4847-A2CF-BCFDC60A15B3}"/>
              </c:ext>
            </c:extLst>
          </c:dPt>
          <c:dLbls>
            <c:dLbl>
              <c:idx val="0"/>
              <c:layout>
                <c:manualLayout>
                  <c:x val="-1.210000127034134E-2"/>
                  <c:y val="6.8615653221226494E-2"/>
                </c:manualLayout>
              </c:layout>
              <c:dLblPos val="inEnd"/>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252-4847-A2CF-BCFDC60A15B3}"/>
                </c:ext>
              </c:extLst>
            </c:dLbl>
            <c:dLbl>
              <c:idx val="1"/>
              <c:layout>
                <c:manualLayout>
                  <c:x val="-1.6133335027121862E-2"/>
                  <c:y val="-1.5834381512590721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a:t>Financim i Huaj dhe burime te tjera 
18.3%</a:t>
                    </a:r>
                  </a:p>
                </c:rich>
              </c:tx>
              <c:spPr>
                <a:noFill/>
                <a:ln w="25400">
                  <a:noFill/>
                </a:ln>
              </c:spPr>
              <c:dLblPos val="inEnd"/>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252-4847-A2CF-BCFDC60A15B3}"/>
                </c:ext>
              </c:extLst>
            </c:dLbl>
            <c:dLbl>
              <c:idx val="2"/>
              <c:layout>
                <c:manualLayout>
                  <c:x val="5.4450005716536104E-2"/>
                  <c:y val="-6.0698462464931102E-2"/>
                </c:manualLayout>
              </c:layout>
              <c:dLblPos val="inEnd"/>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252-4847-A2CF-BCFDC60A15B3}"/>
                </c:ext>
              </c:extLst>
            </c:dLbl>
            <c:dLbl>
              <c:idx val="3"/>
              <c:layout>
                <c:manualLayout>
                  <c:x val="8.0666675135609382E-3"/>
                  <c:y val="4.4864080952340658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a:t>Hendek financiar </a:t>
                    </a:r>
                  </a:p>
                  <a:p>
                    <a:pPr>
                      <a:defRPr sz="900" b="1" i="0" u="none" strike="noStrike" kern="1200" baseline="0">
                        <a:solidFill>
                          <a:schemeClr val="tx1">
                            <a:lumMod val="75000"/>
                            <a:lumOff val="25000"/>
                          </a:schemeClr>
                        </a:solidFill>
                        <a:latin typeface="+mn-lt"/>
                        <a:ea typeface="+mn-ea"/>
                        <a:cs typeface="+mn-cs"/>
                      </a:defRPr>
                    </a:pPr>
                    <a:r>
                      <a:rPr lang="en-US"/>
                      <a:t>2021-2027	
20.3%</a:t>
                    </a:r>
                  </a:p>
                </c:rich>
              </c:tx>
              <c:numFmt formatCode="General" sourceLinked="0"/>
              <c:spPr>
                <a:noFill/>
                <a:ln w="25400">
                  <a:noFill/>
                </a:ln>
              </c:spPr>
              <c:dLblPos val="inEnd"/>
              <c:showCatName val="1"/>
              <c:showPercent val="1"/>
            </c:dLbl>
            <c:numFmt formatCode="0.0%" sourceLinked="0"/>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'Totali_Qellimet politike'!$G$37:$G$40</c:f>
              <c:strCache>
                <c:ptCount val="4"/>
                <c:pt idx="0">
                  <c:v>PBA 2021-2023</c:v>
                </c:pt>
                <c:pt idx="1">
                  <c:v>Financim i Huaj/Burime të tjera </c:v>
                </c:pt>
                <c:pt idx="2">
                  <c:v>PBA 2024-2027</c:v>
                </c:pt>
                <c:pt idx="3">
                  <c:v>Hendek financiar 2021-2027</c:v>
                </c:pt>
              </c:strCache>
            </c:strRef>
          </c:cat>
          <c:val>
            <c:numRef>
              <c:f>'Totali_Qellimet politike'!$H$37:$H$40</c:f>
              <c:numCache>
                <c:formatCode>#,##0</c:formatCode>
                <c:ptCount val="4"/>
                <c:pt idx="0">
                  <c:v>55250532.075000003</c:v>
                </c:pt>
                <c:pt idx="1">
                  <c:v>65857716.220000006</c:v>
                </c:pt>
                <c:pt idx="2">
                  <c:v>164035414.76029998</c:v>
                </c:pt>
                <c:pt idx="3">
                  <c:v>-72100792.424999982</c:v>
                </c:pt>
              </c:numCache>
            </c:numRef>
          </c:val>
          <c:extLst xmlns:c16r2="http://schemas.microsoft.com/office/drawing/2015/06/chart">
            <c:ext xmlns:c16="http://schemas.microsoft.com/office/drawing/2014/chart" uri="{C3380CC4-5D6E-409C-BE32-E72D297353CC}">
              <c16:uniqueId val="{00000004-B252-4847-A2CF-BCFDC60A15B3}"/>
            </c:ext>
          </c:extLst>
        </c:ser>
        <c:firstSliceAng val="0"/>
      </c:pieChart>
      <c:spPr>
        <a:noFill/>
        <a:ln w="25400">
          <a:noFill/>
        </a:ln>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Calibri"/>
                <a:ea typeface="Calibri"/>
                <a:cs typeface="Calibri"/>
              </a:defRPr>
            </a:pPr>
            <a:r>
              <a:rPr lang="en-US" sz="1200" b="0" i="0" strike="noStrike">
                <a:solidFill>
                  <a:srgbClr val="333333"/>
                </a:solidFill>
                <a:latin typeface="Arial Black"/>
              </a:rPr>
              <a:t>NATYRA EKONOMIKE E KOSTOVE TË </a:t>
            </a:r>
          </a:p>
          <a:p>
            <a:pPr>
              <a:defRPr sz="1000" b="0" i="0" u="none" strike="noStrike" baseline="0">
                <a:solidFill>
                  <a:srgbClr val="000000"/>
                </a:solidFill>
                <a:latin typeface="Calibri"/>
                <a:ea typeface="Calibri"/>
                <a:cs typeface="Calibri"/>
              </a:defRPr>
            </a:pPr>
            <a:r>
              <a:rPr lang="en-US" sz="1200" b="0" i="0" strike="noStrike">
                <a:solidFill>
                  <a:srgbClr val="333333"/>
                </a:solidFill>
                <a:latin typeface="Arial Black"/>
              </a:rPr>
              <a:t>Planit të Veprimit</a:t>
            </a:r>
            <a:endParaRPr lang="en-US" sz="1200" b="0" i="0" strike="noStrike">
              <a:solidFill>
                <a:srgbClr val="333333"/>
              </a:solidFill>
              <a:latin typeface="Calibri"/>
              <a:cs typeface="Calibri"/>
            </a:endParaRPr>
          </a:p>
          <a:p>
            <a:pPr>
              <a:defRPr sz="1000" b="0" i="0" u="none" strike="noStrike" baseline="0">
                <a:solidFill>
                  <a:srgbClr val="000000"/>
                </a:solidFill>
                <a:latin typeface="Calibri"/>
                <a:ea typeface="Calibri"/>
                <a:cs typeface="Calibri"/>
              </a:defRPr>
            </a:pPr>
            <a:endParaRPr lang="en-US" sz="1400" b="0" i="0" strike="noStrike">
              <a:solidFill>
                <a:srgbClr val="333333"/>
              </a:solidFill>
              <a:latin typeface="Calibri"/>
              <a:cs typeface="Calibri"/>
            </a:endParaRPr>
          </a:p>
        </c:rich>
      </c:tx>
      <c:layout>
        <c:manualLayout>
          <c:xMode val="edge"/>
          <c:yMode val="edge"/>
          <c:x val="0.2136711374666089"/>
          <c:y val="4.6703296703296815E-2"/>
        </c:manualLayout>
      </c:layout>
      <c:spPr>
        <a:noFill/>
        <a:ln w="25400">
          <a:noFill/>
        </a:ln>
      </c:spPr>
    </c:title>
    <c:view3D>
      <c:rotX val="30"/>
      <c:perspective val="0"/>
    </c:view3D>
    <c:plotArea>
      <c:layout>
        <c:manualLayout>
          <c:layoutTarget val="inner"/>
          <c:xMode val="edge"/>
          <c:yMode val="edge"/>
          <c:x val="9.1549295774648098E-2"/>
          <c:y val="0.18718592964824118"/>
          <c:w val="0.80897887323944229"/>
          <c:h val="0.72110552763819957"/>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266B-44ED-B420-D405AB435B4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66B-44ED-B420-D405AB435B47}"/>
              </c:ext>
            </c:extLst>
          </c:dPt>
          <c:dLbls>
            <c:numFmt formatCode="0.0%" sourceLinked="0"/>
            <c:spPr>
              <a:noFill/>
              <a:ln w="25400">
                <a:noFill/>
              </a:ln>
            </c:spPr>
            <c:txPr>
              <a:bodyPr wrap="square" lIns="38100" tIns="19050" rIns="38100" bIns="19050" anchor="ctr">
                <a:spAutoFit/>
              </a:bodyPr>
              <a:lstStyle/>
              <a:p>
                <a:pPr>
                  <a:defRPr sz="1200" b="1"/>
                </a:pPr>
                <a:endParaRPr lang="en-US"/>
              </a:p>
            </c:txPr>
            <c:dLblPos val="ctr"/>
            <c:showCatName val="1"/>
            <c:showPercent val="1"/>
            <c:showLeaderLines val="1"/>
            <c:extLst xmlns:c16r2="http://schemas.microsoft.com/office/drawing/2015/06/chart">
              <c:ext xmlns:c15="http://schemas.microsoft.com/office/drawing/2012/chart" uri="{CE6537A1-D6FC-4f65-9D91-7224C49458BB}">
                <c15:layout/>
              </c:ext>
            </c:extLst>
          </c:dLbls>
          <c:cat>
            <c:strRef>
              <c:f>'Totali_Qellimet politike'!$G$47:$G$48</c:f>
              <c:strCache>
                <c:ptCount val="2"/>
                <c:pt idx="0">
                  <c:v>Kosto Korente </c:v>
                </c:pt>
                <c:pt idx="1">
                  <c:v>Kosto kapitale</c:v>
                </c:pt>
              </c:strCache>
            </c:strRef>
          </c:cat>
          <c:val>
            <c:numRef>
              <c:f>'Totali_Qellimet politike'!$H$47:$H$48</c:f>
              <c:numCache>
                <c:formatCode>#,##0</c:formatCode>
                <c:ptCount val="2"/>
                <c:pt idx="0">
                  <c:v>343064955.48029995</c:v>
                </c:pt>
                <c:pt idx="1">
                  <c:v>14179500</c:v>
                </c:pt>
              </c:numCache>
            </c:numRef>
          </c:val>
          <c:extLst xmlns:c16r2="http://schemas.microsoft.com/office/drawing/2015/06/chart">
            <c:ext xmlns:c16="http://schemas.microsoft.com/office/drawing/2014/chart" uri="{C3380CC4-5D6E-409C-BE32-E72D297353CC}">
              <c16:uniqueId val="{00000002-266B-44ED-B420-D405AB435B47}"/>
            </c:ext>
          </c:extLst>
        </c:ser>
      </c:pie3DChart>
      <c:spPr>
        <a:noFill/>
        <a:ln w="25400">
          <a:noFill/>
        </a:ln>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latin typeface="Arial Black" panose="020B0A04020102020204" pitchFamily="34" charset="0"/>
              </a:rPr>
              <a:t>Kosto të lidhura  me politikat</a:t>
            </a:r>
          </a:p>
        </c:rich>
      </c:tx>
      <c:layout>
        <c:manualLayout>
          <c:xMode val="edge"/>
          <c:yMode val="edge"/>
          <c:x val="0.26631833889543038"/>
          <c:y val="0"/>
        </c:manualLayout>
      </c:layout>
      <c:spPr>
        <a:noFill/>
        <a:ln w="25400">
          <a:noFill/>
        </a:ln>
      </c:spPr>
    </c:title>
    <c:plotArea>
      <c:layout>
        <c:manualLayout>
          <c:layoutTarget val="inner"/>
          <c:xMode val="edge"/>
          <c:yMode val="edge"/>
          <c:x val="4.6654929577464366E-2"/>
          <c:y val="8.919597989949847E-2"/>
          <c:w val="0.83626760563380365"/>
          <c:h val="0.88567839195979892"/>
        </c:manualLayout>
      </c:layout>
      <c:barChart>
        <c:barDir val="col"/>
        <c:grouping val="percentStacked"/>
        <c:ser>
          <c:idx val="0"/>
          <c:order val="0"/>
          <c:tx>
            <c:strRef>
              <c:f>'Totali_Qellimet politike'!$K$35</c:f>
              <c:strCache>
                <c:ptCount val="1"/>
                <c:pt idx="0">
                  <c:v>Kosto Korente</c:v>
                </c:pt>
              </c:strCache>
            </c:strRef>
          </c:tx>
          <c:spPr>
            <a:solidFill>
              <a:srgbClr val="5B9BD5"/>
            </a:solidFill>
            <a:ln w="25400">
              <a:noFill/>
            </a:ln>
          </c:spPr>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'Totali_Qellimet politike'!$J$36:$J$39</c:f>
              <c:strCache>
                <c:ptCount val="3"/>
                <c:pt idx="0">
                  <c:v>Qëllimi i Politikës I</c:v>
                </c:pt>
                <c:pt idx="1">
                  <c:v>Qëllimi i Politikës II</c:v>
                </c:pt>
                <c:pt idx="2">
                  <c:v>Qëllimi i Politikës III</c:v>
                </c:pt>
              </c:strCache>
            </c:strRef>
          </c:cat>
          <c:val>
            <c:numRef>
              <c:f>'Totali_Qellimet politike'!$K$36:$K$39</c:f>
              <c:numCache>
                <c:formatCode>#,##0</c:formatCode>
                <c:ptCount val="4"/>
                <c:pt idx="0">
                  <c:v>252535577.34029999</c:v>
                </c:pt>
                <c:pt idx="1">
                  <c:v>43367308.935000002</c:v>
                </c:pt>
                <c:pt idx="2">
                  <c:v>47162069.205000006</c:v>
                </c:pt>
              </c:numCache>
            </c:numRef>
          </c:val>
          <c:extLst xmlns:c16r2="http://schemas.microsoft.com/office/drawing/2015/06/chart">
            <c:ext xmlns:c16="http://schemas.microsoft.com/office/drawing/2014/chart" uri="{C3380CC4-5D6E-409C-BE32-E72D297353CC}">
              <c16:uniqueId val="{00000000-8998-4EB3-BD40-C140CD8FF64D}"/>
            </c:ext>
          </c:extLst>
        </c:ser>
        <c:ser>
          <c:idx val="1"/>
          <c:order val="1"/>
          <c:tx>
            <c:strRef>
              <c:f>'Totali_Qellimet politike'!$L$35</c:f>
              <c:strCache>
                <c:ptCount val="1"/>
                <c:pt idx="0">
                  <c:v>Kosto Kapitale</c:v>
                </c:pt>
              </c:strCache>
            </c:strRef>
          </c:tx>
          <c:spPr>
            <a:solidFill>
              <a:srgbClr val="ED7D31"/>
            </a:solidFill>
            <a:ln w="25400">
              <a:noFill/>
            </a:ln>
          </c:spPr>
          <c:dLbls>
            <c:spPr>
              <a:noFill/>
              <a:ln>
                <a:noFill/>
              </a:ln>
              <a:effectLst/>
            </c:spPr>
            <c:txPr>
              <a:bodyPr/>
              <a:lstStyle/>
              <a:p>
                <a:pPr>
                  <a:defRPr sz="800"/>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'Totali_Qellimet politike'!$J$36:$J$39</c:f>
              <c:strCache>
                <c:ptCount val="3"/>
                <c:pt idx="0">
                  <c:v>Qëllimi i Politikës I</c:v>
                </c:pt>
                <c:pt idx="1">
                  <c:v>Qëllimi i Politikës II</c:v>
                </c:pt>
                <c:pt idx="2">
                  <c:v>Qëllimi i Politikës III</c:v>
                </c:pt>
              </c:strCache>
            </c:strRef>
          </c:cat>
          <c:val>
            <c:numRef>
              <c:f>'Totali_Qellimet politike'!$L$36:$L$39</c:f>
              <c:numCache>
                <c:formatCode>#,##0</c:formatCode>
                <c:ptCount val="4"/>
                <c:pt idx="0">
                  <c:v>14145000</c:v>
                </c:pt>
                <c:pt idx="1">
                  <c:v>34500</c:v>
                </c:pt>
                <c:pt idx="2">
                  <c:v>0</c:v>
                </c:pt>
              </c:numCache>
            </c:numRef>
          </c:val>
          <c:extLst xmlns:c16r2="http://schemas.microsoft.com/office/drawing/2015/06/chart">
            <c:ext xmlns:c16="http://schemas.microsoft.com/office/drawing/2014/chart" uri="{C3380CC4-5D6E-409C-BE32-E72D297353CC}">
              <c16:uniqueId val="{00000001-8998-4EB3-BD40-C140CD8FF64D}"/>
            </c:ext>
          </c:extLst>
        </c:ser>
        <c:gapWidth val="55"/>
        <c:overlap val="100"/>
        <c:axId val="126197760"/>
        <c:axId val="126199296"/>
      </c:barChart>
      <c:catAx>
        <c:axId val="126197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9296"/>
        <c:crosses val="autoZero"/>
        <c:auto val="1"/>
        <c:lblAlgn val="ctr"/>
        <c:lblOffset val="100"/>
      </c:catAx>
      <c:valAx>
        <c:axId val="1261992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7760"/>
        <c:crosses val="autoZero"/>
        <c:crossBetween val="between"/>
      </c:valAx>
      <c:spPr>
        <a:noFill/>
        <a:ln w="25400">
          <a:noFill/>
        </a:ln>
      </c:spPr>
    </c:plotArea>
    <c:legend>
      <c:legendPos val="r"/>
      <c:layout>
        <c:manualLayout>
          <c:xMode val="edge"/>
          <c:yMode val="edge"/>
          <c:x val="0.86390890005179022"/>
          <c:y val="0.49748743718593241"/>
          <c:w val="0.13080943025084021"/>
          <c:h val="0.10388839449577589"/>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0x00AB3C66F6C1E7FF428D19B6306A37FBD8</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AB3C66F6C1E7FF428D19B6306A37FBD8" ma:contentTypeVersion="" ma:contentTypeDescription="" ma:contentTypeScope="" ma:versionID="bf6dcfa4e7809341a9b4e03c2e4e238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FE583-95E0-4C8B-B526-58082EEC60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49371A-6CCF-4370-A2DF-5A2CF32DA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C513-41A4-4C6A-9E07-CBF22ADF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21031</Words>
  <Characters>119877</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SKBGJ 2021 - 2030</vt:lpstr>
    </vt:vector>
  </TitlesOfParts>
  <Company/>
  <LinksUpToDate>false</LinksUpToDate>
  <CharactersWithSpaces>140627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SKBGJ 2021 - 2030</dc:title>
  <dc:creator>Monika Kocaqi</dc:creator>
  <cp:lastModifiedBy>Albana</cp:lastModifiedBy>
  <cp:revision>2</cp:revision>
  <dcterms:created xsi:type="dcterms:W3CDTF">2021-08-13T04:57:00Z</dcterms:created>
  <dcterms:modified xsi:type="dcterms:W3CDTF">2021-08-13T04:57:00Z</dcterms:modified>
</cp:coreProperties>
</file>